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A80DB" w14:textId="67857DF3"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 xml:space="preserve">Kupní smlouva uzavřena podle paragrafu </w:t>
      </w:r>
      <w:smartTag w:uri="urn:schemas-microsoft-com:office:smarttags" w:element="metricconverter">
        <w:smartTagPr>
          <w:attr w:name="ProductID" w:val="2079 a"/>
        </w:smartTagPr>
        <w:r w:rsidRPr="001F7F4A">
          <w:rPr>
            <w:rFonts w:ascii="Calibri" w:hAnsi="Calibri" w:cs="Calibri"/>
            <w:color w:val="auto"/>
            <w:sz w:val="22"/>
            <w:szCs w:val="22"/>
            <w:lang w:val="cs-CZ"/>
          </w:rPr>
          <w:t>2079 a</w:t>
        </w:r>
      </w:smartTag>
      <w:r w:rsidRPr="001F7F4A">
        <w:rPr>
          <w:rFonts w:ascii="Calibri" w:hAnsi="Calibri" w:cs="Calibri"/>
          <w:color w:val="auto"/>
          <w:sz w:val="22"/>
          <w:szCs w:val="22"/>
          <w:lang w:val="cs-CZ"/>
        </w:rPr>
        <w:t xml:space="preserve">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7777777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3D269F" w:rsidRPr="001F7F4A">
        <w:rPr>
          <w:rFonts w:ascii="Calibri" w:hAnsi="Calibri" w:cs="Calibri"/>
          <w:sz w:val="22"/>
          <w:szCs w:val="22"/>
        </w:rPr>
        <w:t>Františkem Lešundákem</w:t>
      </w:r>
      <w:r w:rsidRPr="001F7F4A">
        <w:rPr>
          <w:rFonts w:ascii="Calibri" w:hAnsi="Calibri" w:cs="Calibri"/>
          <w:sz w:val="22"/>
          <w:szCs w:val="22"/>
        </w:rPr>
        <w:t>, 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6185D664"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009F1C45">
        <w:rPr>
          <w:rFonts w:cs="Calibri"/>
          <w:sz w:val="22"/>
          <w:szCs w:val="22"/>
        </w:rPr>
        <w:t>O</w:t>
      </w:r>
      <w:r w:rsidRPr="001F7F4A">
        <w:rPr>
          <w:rFonts w:cs="Calibri"/>
          <w:sz w:val="22"/>
          <w:szCs w:val="22"/>
        </w:rPr>
        <w:t>:</w:t>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1C27FBA9" w14:textId="6FEE36CC" w:rsidR="00AF66FC" w:rsidRPr="001F7F4A" w:rsidRDefault="00947DF4" w:rsidP="009F1C45">
      <w:pPr>
        <w:ind w:left="426"/>
        <w:rPr>
          <w:rFonts w:ascii="Calibri" w:hAnsi="Calibri" w:cs="Calibri"/>
          <w:sz w:val="22"/>
          <w:szCs w:val="22"/>
        </w:rPr>
      </w:pPr>
      <w:r w:rsidRPr="001F7F4A">
        <w:rPr>
          <w:rFonts w:ascii="Calibri" w:hAnsi="Calibri" w:cs="Calibri"/>
          <w:sz w:val="22"/>
          <w:szCs w:val="22"/>
        </w:rPr>
        <w:t>Kontaktní osoba ve věcech technických:</w:t>
      </w:r>
    </w:p>
    <w:p w14:paraId="44EE45C1" w14:textId="20B91EC8" w:rsidR="00AF66FC" w:rsidRDefault="00AF66FC" w:rsidP="00AF66FC">
      <w:pPr>
        <w:ind w:left="426"/>
        <w:rPr>
          <w:rFonts w:ascii="Calibri" w:hAnsi="Calibri" w:cs="Calibri"/>
          <w:sz w:val="22"/>
          <w:szCs w:val="22"/>
        </w:rPr>
      </w:pPr>
      <w:r w:rsidRPr="001F7F4A">
        <w:rPr>
          <w:rFonts w:ascii="Calibri" w:hAnsi="Calibri" w:cs="Calibri"/>
          <w:sz w:val="22"/>
          <w:szCs w:val="22"/>
        </w:rPr>
        <w:t>E-mail:</w:t>
      </w:r>
    </w:p>
    <w:p w14:paraId="78DE9D12" w14:textId="27D01E55" w:rsidR="009F1C45" w:rsidRPr="001F7F4A" w:rsidRDefault="009F1C45" w:rsidP="00AF66FC">
      <w:pPr>
        <w:ind w:left="426"/>
        <w:rPr>
          <w:rFonts w:ascii="Calibri" w:hAnsi="Calibri" w:cs="Calibri"/>
          <w:sz w:val="22"/>
          <w:szCs w:val="22"/>
        </w:rPr>
      </w:pPr>
      <w:r>
        <w:rPr>
          <w:rFonts w:ascii="Calibri" w:hAnsi="Calibri" w:cs="Calibri"/>
          <w:sz w:val="22"/>
          <w:szCs w:val="22"/>
        </w:rPr>
        <w:t>Tel.</w:t>
      </w:r>
    </w:p>
    <w:p w14:paraId="03F6E24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p>
    <w:p w14:paraId="31532CC9" w14:textId="18CB9FCA" w:rsidR="00AF66FC" w:rsidRPr="001F7F4A" w:rsidRDefault="001736AD" w:rsidP="00AF66FC">
      <w:pPr>
        <w:rPr>
          <w:rFonts w:ascii="Calibri" w:hAnsi="Calibri" w:cs="Calibri"/>
          <w:sz w:val="22"/>
          <w:szCs w:val="22"/>
        </w:rPr>
      </w:pPr>
      <w:r w:rsidRPr="001F7F4A">
        <w:rPr>
          <w:rFonts w:ascii="Calibri" w:hAnsi="Calibri" w:cs="Calibri"/>
          <w:sz w:val="22"/>
          <w:szCs w:val="22"/>
        </w:rPr>
        <w:t>dále jen „</w:t>
      </w:r>
      <w:r w:rsidR="00391F82">
        <w:rPr>
          <w:rFonts w:ascii="Calibri" w:hAnsi="Calibri" w:cs="Calibri"/>
          <w:sz w:val="22"/>
          <w:szCs w:val="22"/>
        </w:rPr>
        <w:t>kupující</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66A54CDC"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009F1C45">
        <w:rPr>
          <w:rFonts w:cs="Calibri"/>
          <w:sz w:val="22"/>
          <w:szCs w:val="22"/>
        </w:rPr>
        <w:t>O</w:t>
      </w:r>
      <w:r w:rsidRPr="001F7F4A">
        <w:rPr>
          <w:rFonts w:cs="Calibri"/>
          <w:sz w:val="22"/>
          <w:szCs w:val="22"/>
        </w:rPr>
        <w:t>:</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77777777"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5866B97C" w14:textId="76285ED2" w:rsidR="00AF66FC" w:rsidRDefault="00AF66FC" w:rsidP="00AF66FC">
      <w:pPr>
        <w:ind w:left="426"/>
        <w:rPr>
          <w:rFonts w:ascii="Calibri" w:hAnsi="Calibri" w:cs="Calibri"/>
          <w:b/>
          <w:bCs/>
          <w:sz w:val="22"/>
          <w:szCs w:val="22"/>
        </w:rPr>
      </w:pPr>
      <w:r w:rsidRPr="001F7F4A">
        <w:rPr>
          <w:rFonts w:ascii="Calibri" w:hAnsi="Calibri" w:cs="Calibri"/>
          <w:sz w:val="22"/>
          <w:szCs w:val="22"/>
        </w:rPr>
        <w:t>E-mail:</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5CA9282" w14:textId="1E0A1ABB" w:rsidR="009F1C45" w:rsidRPr="009F1C45" w:rsidRDefault="009F1C45" w:rsidP="00AF66FC">
      <w:pPr>
        <w:ind w:left="426"/>
        <w:rPr>
          <w:rFonts w:ascii="Calibri" w:hAnsi="Calibri" w:cs="Calibri"/>
          <w:sz w:val="22"/>
          <w:szCs w:val="22"/>
        </w:rPr>
      </w:pPr>
      <w:r w:rsidRPr="009F1C45">
        <w:rPr>
          <w:rFonts w:ascii="Calibri" w:hAnsi="Calibri" w:cs="Calibri"/>
          <w:sz w:val="22"/>
          <w:szCs w:val="22"/>
        </w:rPr>
        <w:t>Tel.</w:t>
      </w:r>
    </w:p>
    <w:p w14:paraId="77E6A7A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Adresa pro doručování:</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0A125333" w:rsidR="00AF66FC" w:rsidRPr="001F7F4A" w:rsidRDefault="002B7F32" w:rsidP="00AF66FC">
      <w:pPr>
        <w:rPr>
          <w:rFonts w:ascii="Calibri" w:hAnsi="Calibri" w:cs="Calibri"/>
          <w:sz w:val="22"/>
          <w:szCs w:val="22"/>
        </w:rPr>
      </w:pPr>
      <w:r w:rsidRPr="001F7F4A">
        <w:rPr>
          <w:rFonts w:ascii="Calibri" w:hAnsi="Calibri" w:cs="Calibri"/>
          <w:sz w:val="22"/>
          <w:szCs w:val="22"/>
        </w:rPr>
        <w:t>dále jen „</w:t>
      </w:r>
      <w:r w:rsidR="00391F82">
        <w:rPr>
          <w:rFonts w:ascii="Calibri" w:hAnsi="Calibri" w:cs="Calibri"/>
          <w:sz w:val="22"/>
          <w:szCs w:val="22"/>
        </w:rPr>
        <w:t>prodávající</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5B892999" w14:textId="00A34306" w:rsidR="00B57DD9" w:rsidRPr="001F7F4A" w:rsidRDefault="00B57DD9" w:rsidP="004839E6">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Podkladem pro uzavření této Smlouvy je nabídka Prodávajícího ze dne „</w:t>
      </w:r>
      <w:r w:rsidRPr="001F7F4A">
        <w:rPr>
          <w:rFonts w:ascii="Calibri" w:hAnsi="Calibri" w:cs="Calibri"/>
          <w:b/>
          <w:bCs/>
          <w:sz w:val="22"/>
          <w:szCs w:val="22"/>
          <w:highlight w:val="yellow"/>
        </w:rPr>
        <w:t>DOPLNÍ ÚČASTNÍK</w:t>
      </w:r>
      <w:r w:rsidRPr="001F7F4A">
        <w:rPr>
          <w:rFonts w:ascii="Calibri" w:hAnsi="Calibri" w:cs="Calibri"/>
          <w:sz w:val="22"/>
          <w:szCs w:val="22"/>
        </w:rPr>
        <w:t>“ (dále jen „Nabídka“) podaná ve veřejné zakázce: „</w:t>
      </w:r>
      <w:r w:rsidR="001F7F4A" w:rsidRPr="001F7F4A">
        <w:rPr>
          <w:rFonts w:ascii="Calibri" w:hAnsi="Calibri" w:cs="Calibri"/>
          <w:b/>
          <w:sz w:val="22"/>
          <w:szCs w:val="22"/>
        </w:rPr>
        <w:t xml:space="preserve">Laboratorní přístrojové vybavení </w:t>
      </w:r>
      <w:r w:rsidR="005672D1">
        <w:rPr>
          <w:rFonts w:ascii="Calibri" w:hAnsi="Calibri" w:cs="Calibri"/>
          <w:b/>
          <w:sz w:val="22"/>
          <w:szCs w:val="22"/>
        </w:rPr>
        <w:t>1</w:t>
      </w:r>
      <w:r w:rsidRPr="001F7F4A">
        <w:rPr>
          <w:rFonts w:ascii="Calibri" w:hAnsi="Calibri" w:cs="Calibri"/>
          <w:sz w:val="22"/>
          <w:szCs w:val="22"/>
        </w:rPr>
        <w:t>“,</w:t>
      </w:r>
      <w:r w:rsidR="00333B13" w:rsidRPr="00333B13">
        <w:rPr>
          <w:rFonts w:ascii="Calibri" w:hAnsi="Calibri" w:cs="Calibri"/>
          <w:b/>
          <w:bCs/>
          <w:sz w:val="22"/>
          <w:szCs w:val="22"/>
        </w:rPr>
        <w:t xml:space="preserve"> část</w:t>
      </w:r>
      <w:r w:rsidR="00333B13">
        <w:rPr>
          <w:rFonts w:ascii="Calibri" w:hAnsi="Calibri" w:cs="Calibri"/>
          <w:b/>
          <w:bCs/>
          <w:sz w:val="22"/>
          <w:szCs w:val="22"/>
        </w:rPr>
        <w:t xml:space="preserve"> </w:t>
      </w:r>
      <w:r w:rsidR="005672D1">
        <w:rPr>
          <w:rFonts w:ascii="Calibri" w:hAnsi="Calibri" w:cs="Calibri"/>
          <w:b/>
          <w:bCs/>
          <w:sz w:val="22"/>
          <w:szCs w:val="22"/>
        </w:rPr>
        <w:t>2</w:t>
      </w:r>
      <w:r w:rsidR="00333B13">
        <w:rPr>
          <w:rFonts w:ascii="Calibri" w:hAnsi="Calibri" w:cs="Calibri"/>
          <w:b/>
          <w:bCs/>
          <w:sz w:val="22"/>
          <w:szCs w:val="22"/>
        </w:rPr>
        <w:t xml:space="preserve"> </w:t>
      </w:r>
      <w:r w:rsidR="005672D1" w:rsidRPr="005672D1">
        <w:rPr>
          <w:rFonts w:ascii="Calibri" w:hAnsi="Calibri" w:cs="Calibri"/>
          <w:b/>
          <w:bCs/>
        </w:rPr>
        <w:t>Elektroforetické systémy</w:t>
      </w:r>
      <w:r w:rsidR="009F1C45">
        <w:rPr>
          <w:rFonts w:ascii="Calibri" w:hAnsi="Calibri" w:cs="Calibri"/>
          <w:sz w:val="22"/>
          <w:szCs w:val="22"/>
        </w:rPr>
        <w:t xml:space="preserve"> </w:t>
      </w:r>
      <w:r w:rsidRPr="001F7F4A">
        <w:rPr>
          <w:rFonts w:ascii="Calibri" w:hAnsi="Calibri" w:cs="Calibri"/>
          <w:sz w:val="22"/>
          <w:szCs w:val="22"/>
        </w:rPr>
        <w:t xml:space="preserve">(dále jen „Veřejná zakázka“). Účelem této smlouvy je úprava práv a povinností smluvních stran při zajištění dodávky zboží na základě podmínek a zadávací dokumentace zadávacího řízení Veřejné zakázky. Mezi kupujícím jako zadavatelem této veřejné </w:t>
      </w:r>
      <w:r w:rsidRPr="001F7F4A">
        <w:rPr>
          <w:rFonts w:ascii="Calibri" w:hAnsi="Calibri" w:cs="Calibri"/>
          <w:sz w:val="22"/>
          <w:szCs w:val="22"/>
        </w:rPr>
        <w:lastRenderedPageBreak/>
        <w:t>zakázky a prodávajícím jako vybraným účastníkem Veřejné zakázky je uzavřena tato smlouva.</w:t>
      </w:r>
    </w:p>
    <w:p w14:paraId="380DBA49"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bookmarkStart w:id="0" w:name="_Hlk536536353"/>
    </w:p>
    <w:bookmarkEnd w:id="0"/>
    <w:p w14:paraId="01B044FC" w14:textId="222CB77B"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Předmětem této smlouvy je závazek Prodávajícího zajistit po celou dobu trvání této smlouvy pro kupujícího dodávky zboží specifikovaného v příloze A (dále jen „zboží“) této smlouvy – v soupisu </w:t>
      </w:r>
      <w:r w:rsidR="00DF12B9">
        <w:rPr>
          <w:rFonts w:ascii="Calibri" w:hAnsi="Calibri" w:cs="Calibri"/>
          <w:sz w:val="22"/>
          <w:szCs w:val="22"/>
        </w:rPr>
        <w:t>spotřebního materiálu k jednotlivým testům</w:t>
      </w:r>
      <w:r w:rsidRPr="001F7F4A">
        <w:rPr>
          <w:rFonts w:ascii="Calibri" w:hAnsi="Calibri" w:cs="Calibri"/>
          <w:sz w:val="22"/>
          <w:szCs w:val="22"/>
        </w:rPr>
        <w:t xml:space="preserve"> 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62532F71" w14:textId="77777777" w:rsidR="00B57DD9" w:rsidRPr="001F7F4A" w:rsidRDefault="00B57DD9" w:rsidP="00B57DD9">
      <w:pPr>
        <w:pStyle w:val="Odstavecseseznamem"/>
        <w:rPr>
          <w:rFonts w:ascii="Calibri" w:hAnsi="Calibri" w:cs="Calibri"/>
          <w:szCs w:val="22"/>
        </w:rPr>
      </w:pPr>
    </w:p>
    <w:p w14:paraId="2C4FEF3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199412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F64B6F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15CC77CE"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601CCB49"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4BAFAB3A"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2D48A5A4"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p>
    <w:p w14:paraId="570748B0"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r w:rsidRPr="001F7F4A">
        <w:rPr>
          <w:rFonts w:ascii="Calibri" w:hAnsi="Calibri" w:cs="Calibri"/>
          <w:sz w:val="22"/>
          <w:szCs w:val="22"/>
        </w:rPr>
        <w:t xml:space="preserve"> </w:t>
      </w:r>
    </w:p>
    <w:p w14:paraId="4D7C660C"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B57DD9">
      <w:pPr>
        <w:pStyle w:val="Bezmezer"/>
        <w:numPr>
          <w:ilvl w:val="0"/>
          <w:numId w:val="22"/>
        </w:numPr>
        <w:tabs>
          <w:tab w:val="left" w:pos="-3261"/>
          <w:tab w:val="left" w:pos="-2835"/>
          <w:tab w:val="left" w:pos="-1276"/>
        </w:tabs>
        <w:suppressAutoHyphens/>
        <w:spacing w:after="240"/>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tak, aby kupujícímu zajistil součinnost pro splnění povinností uvedených v zákoně č. 340/2015 Sb., o registru smluv v platném znění. </w:t>
      </w:r>
    </w:p>
    <w:p w14:paraId="104E1C5A"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Veřejné zakázky. </w:t>
      </w:r>
    </w:p>
    <w:p w14:paraId="1FA2550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Dílčí smlouva je uzavřena okamžikem, kdy je prodávajícím potvrzena objednávka učiněná kupujícím za podmínek vyjádřených v této smlouvě.</w:t>
      </w:r>
    </w:p>
    <w:p w14:paraId="31A5C1F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77777777"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 xml:space="preserve">Prodávající: </w:t>
      </w:r>
      <w:r w:rsidRPr="001F7F4A">
        <w:rPr>
          <w:rFonts w:ascii="Calibri" w:hAnsi="Calibri" w:cs="Calibri"/>
          <w:sz w:val="22"/>
          <w:szCs w:val="22"/>
        </w:rPr>
        <w:tab/>
      </w:r>
      <w:r w:rsidRPr="001F7F4A">
        <w:rPr>
          <w:rFonts w:ascii="Calibri" w:hAnsi="Calibri" w:cs="Calibri"/>
          <w:b/>
          <w:bCs/>
          <w:sz w:val="22"/>
          <w:szCs w:val="22"/>
          <w:highlight w:val="yellow"/>
        </w:rPr>
        <w:t>DOPLNÍ  ÚČASTNÍK</w:t>
      </w:r>
      <w:r w:rsidRPr="001F7F4A">
        <w:rPr>
          <w:rFonts w:ascii="Calibri" w:hAnsi="Calibri" w:cs="Calibri"/>
          <w:sz w:val="22"/>
          <w:szCs w:val="22"/>
          <w:highlight w:val="yellow"/>
        </w:rPr>
        <w:t>…………………………..@.......................</w:t>
      </w:r>
      <w:r w:rsidRPr="001F7F4A">
        <w:rPr>
          <w:rFonts w:ascii="Calibri" w:hAnsi="Calibri" w:cs="Calibri"/>
          <w:sz w:val="22"/>
          <w:szCs w:val="22"/>
        </w:rPr>
        <w:t>.</w:t>
      </w:r>
    </w:p>
    <w:p w14:paraId="1B7574DF" w14:textId="30AD4193"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w:t>
      </w:r>
      <w:r w:rsidRPr="001F7F4A">
        <w:rPr>
          <w:rFonts w:ascii="Calibri" w:hAnsi="Calibri" w:cs="Calibri"/>
          <w:sz w:val="22"/>
          <w:szCs w:val="22"/>
        </w:rPr>
        <w:tab/>
      </w:r>
      <w:r w:rsidRPr="001F7F4A">
        <w:rPr>
          <w:rFonts w:ascii="Calibri" w:hAnsi="Calibri" w:cs="Calibri"/>
          <w:sz w:val="22"/>
          <w:szCs w:val="22"/>
        </w:rPr>
        <w:tab/>
      </w:r>
      <w:r w:rsidR="00E84471" w:rsidRPr="009016D2">
        <w:rPr>
          <w:rFonts w:asciiTheme="minorHAnsi" w:hAnsiTheme="minorHAnsi"/>
          <w:i/>
          <w:iCs/>
          <w:sz w:val="22"/>
          <w:szCs w:val="22"/>
          <w:highlight w:val="lightGray"/>
        </w:rPr>
        <w:t>……………………………. (bude doplněno před podpisem smlouvy)</w:t>
      </w:r>
      <w:r w:rsidR="00E84471" w:rsidRPr="001F7F4A">
        <w:rPr>
          <w:rFonts w:ascii="Calibri" w:hAnsi="Calibri" w:cs="Calibri"/>
          <w:sz w:val="22"/>
          <w:szCs w:val="22"/>
        </w:rPr>
        <w:t xml:space="preserve"> </w:t>
      </w:r>
      <w:r w:rsidR="001A7DF1">
        <w:rPr>
          <w:rFonts w:ascii="Calibri" w:hAnsi="Calibri" w:cs="Calibri"/>
          <w:sz w:val="22"/>
          <w:szCs w:val="22"/>
        </w:rPr>
        <w:t>[*]</w:t>
      </w:r>
      <w:r w:rsidRPr="001F7F4A">
        <w:rPr>
          <w:rFonts w:ascii="Calibri" w:hAnsi="Calibri" w:cs="Calibri"/>
          <w:sz w:val="22"/>
          <w:szCs w:val="22"/>
        </w:rPr>
        <w:t xml:space="preserve"> </w:t>
      </w:r>
    </w:p>
    <w:p w14:paraId="04113F32" w14:textId="75B6AE1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se zavazuje obratem, nejpozději však do 48 hodin od přijetí objednávky, objednávku písemně potvrdit, a to vždy elektronicky na emailovou adresu </w:t>
      </w:r>
      <w:r w:rsidR="001A7DF1">
        <w:rPr>
          <w:rFonts w:ascii="Calibri" w:hAnsi="Calibri" w:cs="Calibri"/>
          <w:sz w:val="22"/>
          <w:szCs w:val="22"/>
        </w:rPr>
        <w:t>[*]</w:t>
      </w:r>
      <w:r w:rsidR="001A7DF1" w:rsidRPr="001F7F4A">
        <w:rPr>
          <w:rFonts w:ascii="Calibri" w:hAnsi="Calibri" w:cs="Calibri"/>
          <w:sz w:val="22"/>
          <w:szCs w:val="22"/>
        </w:rPr>
        <w:t xml:space="preserve"> </w:t>
      </w:r>
      <w:r w:rsidRPr="001F7F4A">
        <w:rPr>
          <w:rFonts w:ascii="Calibri" w:hAnsi="Calibri" w:cs="Calibri"/>
          <w:sz w:val="22"/>
          <w:szCs w:val="22"/>
        </w:rPr>
        <w:t>.</w:t>
      </w:r>
    </w:p>
    <w:p w14:paraId="24B20CC6" w14:textId="0DCE4182"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Každá dodávka zboží bude vybavena dodacím listem v rozsahu stanoveném ve vyhlášce č. 229/2008 Sb., o výrobě a distribuci léčiv, v platném znění. Prodávající je povinen vystavit a předat kupujícímu kromě písemné podoby dodacího listu i jeho elektronickou podobu v jednom z formátů: pdf, csv, xls(x), xml nebo PDK; případně vyplněním formuláře zaslaného současně s objednávkou kupujícím. </w:t>
      </w:r>
    </w:p>
    <w:p w14:paraId="4A8CCEE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a dále musí obsahovat údaje o množství, velikosti balení, síle léčiva, šarži, expiraci, ceně jednotlivých druhů zboží a konečnou cenu za celý dodací list, pokud ceny v uvedené struktuře neobsahuje přímo související a dodaná faktura.</w:t>
      </w:r>
    </w:p>
    <w:p w14:paraId="16EAEF8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při převzetí zboží uvede na dodací list své jméno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Prodávající je oprávněn po splnění předmětu objednávky vystavit fakturu.</w:t>
      </w:r>
    </w:p>
    <w:p w14:paraId="54FEB62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77777777" w:rsidR="00B57DD9" w:rsidRPr="001F7F4A" w:rsidRDefault="00B57DD9" w:rsidP="00B57DD9">
      <w:pPr>
        <w:pStyle w:val="Odstavecseseznamem"/>
        <w:numPr>
          <w:ilvl w:val="0"/>
          <w:numId w:val="13"/>
        </w:numPr>
        <w:autoSpaceDE w:val="0"/>
        <w:autoSpaceDN w:val="0"/>
        <w:adjustRightInd w:val="0"/>
        <w:spacing w:after="240"/>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(teplota uchovávaných léčiv, jakost obalového souboru atp.) požadavkům pro transport léčiv dle Správné distribuční praxe.</w:t>
      </w:r>
    </w:p>
    <w:p w14:paraId="055AC94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29091935" w14:textId="77777777" w:rsidR="00584B52"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Místem dodání zboží j</w:t>
      </w:r>
      <w:r w:rsidR="00584B52">
        <w:rPr>
          <w:rFonts w:ascii="Calibri" w:hAnsi="Calibri" w:cs="Calibri"/>
          <w:sz w:val="22"/>
          <w:szCs w:val="22"/>
        </w:rPr>
        <w:t>sou:</w:t>
      </w:r>
    </w:p>
    <w:p w14:paraId="10579B6C" w14:textId="77777777" w:rsidR="00584B52" w:rsidRPr="00BB34DA" w:rsidRDefault="00584B52" w:rsidP="00584B52">
      <w:pPr>
        <w:pStyle w:val="PODKAPITOLA"/>
        <w:spacing w:before="120" w:after="120"/>
        <w:ind w:left="360"/>
        <w:rPr>
          <w:rFonts w:ascii="Calibri" w:hAnsi="Calibri" w:cs="Calibri"/>
          <w:b w:val="0"/>
          <w:bCs w:val="0"/>
          <w:color w:val="auto"/>
          <w:sz w:val="22"/>
          <w:szCs w:val="22"/>
        </w:rPr>
      </w:pPr>
      <w:bookmarkStart w:id="1" w:name="_Hlk41641477"/>
      <w:bookmarkStart w:id="2" w:name="_Hlk41383672"/>
      <w:r>
        <w:rPr>
          <w:rFonts w:ascii="Calibri" w:hAnsi="Calibri" w:cs="Calibri"/>
          <w:b w:val="0"/>
          <w:bCs w:val="0"/>
          <w:color w:val="auto"/>
          <w:sz w:val="22"/>
          <w:szCs w:val="22"/>
        </w:rPr>
        <w:t>Litomyšlská</w:t>
      </w:r>
      <w:r w:rsidRPr="002378BD">
        <w:rPr>
          <w:rFonts w:ascii="Calibri" w:hAnsi="Calibri" w:cs="Calibri"/>
          <w:b w:val="0"/>
          <w:bCs w:val="0"/>
          <w:color w:val="auto"/>
          <w:sz w:val="22"/>
          <w:szCs w:val="22"/>
        </w:rPr>
        <w:t xml:space="preserve"> nemocnice, J. E. Purkyně 652, 570 14 Litomyšl</w:t>
      </w:r>
      <w:bookmarkEnd w:id="1"/>
      <w:r w:rsidRPr="00BB34DA">
        <w:rPr>
          <w:rFonts w:ascii="Calibri" w:hAnsi="Calibri" w:cs="Arial"/>
          <w:b w:val="0"/>
          <w:bCs w:val="0"/>
          <w:color w:val="auto"/>
          <w:sz w:val="22"/>
          <w:szCs w:val="22"/>
        </w:rPr>
        <w:t xml:space="preserve"> </w:t>
      </w:r>
    </w:p>
    <w:p w14:paraId="0BF23097" w14:textId="77777777" w:rsidR="00584B52" w:rsidRDefault="00584B52" w:rsidP="00584B52">
      <w:pPr>
        <w:pStyle w:val="PODKAPITOLA"/>
        <w:spacing w:before="120" w:after="120"/>
        <w:ind w:left="360"/>
        <w:rPr>
          <w:rFonts w:ascii="Calibri" w:hAnsi="Calibri" w:cs="Calibri"/>
          <w:b w:val="0"/>
          <w:bCs w:val="0"/>
          <w:color w:val="auto"/>
          <w:sz w:val="22"/>
          <w:szCs w:val="22"/>
        </w:rPr>
      </w:pPr>
      <w:bookmarkStart w:id="3" w:name="_Hlk41641522"/>
      <w:r w:rsidRPr="002378BD">
        <w:rPr>
          <w:rFonts w:ascii="Calibri" w:hAnsi="Calibri" w:cs="Calibri"/>
          <w:b w:val="0"/>
          <w:bCs w:val="0"/>
          <w:color w:val="auto"/>
          <w:sz w:val="22"/>
          <w:szCs w:val="22"/>
        </w:rPr>
        <w:t>Pardubická nemocnice, Kyjevská 44, 532 03 Pardubice</w:t>
      </w:r>
      <w:bookmarkEnd w:id="3"/>
    </w:p>
    <w:bookmarkEnd w:id="2"/>
    <w:p w14:paraId="653EC6BA" w14:textId="77777777" w:rsidR="00584B52" w:rsidRPr="006E35C4" w:rsidRDefault="00584B52" w:rsidP="00584B52">
      <w:pPr>
        <w:pStyle w:val="PODKAPITOLA"/>
        <w:spacing w:before="120" w:after="120"/>
        <w:ind w:left="360"/>
        <w:rPr>
          <w:rFonts w:ascii="Calibri" w:hAnsi="Calibri" w:cs="Calibri"/>
          <w:b w:val="0"/>
          <w:bCs w:val="0"/>
          <w:color w:val="auto"/>
          <w:sz w:val="22"/>
          <w:szCs w:val="22"/>
        </w:rPr>
      </w:pPr>
      <w:r w:rsidRPr="006E35C4">
        <w:rPr>
          <w:rFonts w:ascii="Calibri" w:hAnsi="Calibri" w:cs="Calibri"/>
          <w:b w:val="0"/>
          <w:bCs w:val="0"/>
          <w:color w:val="auto"/>
          <w:sz w:val="22"/>
          <w:szCs w:val="22"/>
        </w:rPr>
        <w:t>Orlickoústecká nemocnice, Čs. armády 1076, 562 18 Ústí nad Orlicí</w:t>
      </w:r>
    </w:p>
    <w:p w14:paraId="4238F2D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nabývá vlastnické právo ke kupovanému zboží okamžikem jeho převzetí.</w:t>
      </w:r>
    </w:p>
    <w:p w14:paraId="1DC7F9A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pojištění, apod.).</w:t>
      </w:r>
    </w:p>
    <w:p w14:paraId="78163AC3"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12 měsíců a které nemá závady v jakosti ani porušený obal a jehož distribuce nebyla zakázána Státním ústavem pro kontrolu léčiv (dále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7B2D4E79" w:rsidR="00B57DD9" w:rsidRPr="00E84471" w:rsidRDefault="00E84471" w:rsidP="00E84471">
      <w:pPr>
        <w:pStyle w:val="Bezmezer"/>
        <w:numPr>
          <w:ilvl w:val="0"/>
          <w:numId w:val="22"/>
        </w:numPr>
        <w:suppressAutoHyphens/>
        <w:spacing w:after="240"/>
        <w:jc w:val="both"/>
        <w:rPr>
          <w:rFonts w:cs="Calibri"/>
        </w:rPr>
      </w:pPr>
      <w:r w:rsidRPr="001F7F4A">
        <w:rPr>
          <w:rFonts w:cs="Calibri"/>
        </w:rPr>
        <w:t>Prodávající se zavazuje, že s dodávaným zbožím bude nakládat výlučně v souladu s platnými předpisy, v platných zněních.</w:t>
      </w:r>
    </w:p>
    <w:p w14:paraId="6102E96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má právo určit konkrétní množství a dobu plnění podle svých aktuálních potřeb bez penalizace či jiného postihu ze strany Prodávajících.</w:t>
      </w: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lastRenderedPageBreak/>
        <w:t>Čl. III</w:t>
      </w:r>
    </w:p>
    <w:p w14:paraId="5F67748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sjednávají za plnění jednotlivých dodávek realizovaných v rámci této kupní smlouvy smluvní cenu, která nesmí být vyšší než cena uvedená Prodávajícím v příloze A. Dohodnutým způsobem určená cena je určitá a zahrnuje veškeré související náklady Prodávajících, včetně nákladů na třídění, balení, nakládání, dopravu, vykládání, přirážky distributorů, celní poplatky apod.</w:t>
      </w:r>
    </w:p>
    <w:p w14:paraId="179AA315"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4385096A"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Faktura bude zaslána elektronicky na adresu: </w:t>
      </w:r>
      <w:hyperlink r:id="rId8" w:history="1">
        <w:r w:rsidR="00740824">
          <w:rPr>
            <w:rStyle w:val="Hypertextovodkaz"/>
            <w:rFonts w:ascii="Calibri" w:eastAsia="SimSun" w:hAnsi="Calibri" w:cs="Calibri"/>
            <w:kern w:val="2"/>
            <w:sz w:val="22"/>
            <w:szCs w:val="22"/>
            <w:lang w:eastAsia="hi-IN" w:bidi="hi-IN"/>
          </w:rPr>
          <w:t>fakturace@nempk.cz</w:t>
        </w:r>
      </w:hyperlink>
      <w:r w:rsidRPr="001F7F4A">
        <w:rPr>
          <w:rFonts w:ascii="Calibri" w:hAnsi="Calibri" w:cs="Calibri"/>
          <w:sz w:val="22"/>
          <w:szCs w:val="22"/>
        </w:rPr>
        <w:t xml:space="preserve"> společně s dodacím listem. </w:t>
      </w:r>
    </w:p>
    <w:p w14:paraId="3CE2DC16"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předmět plnění a jeho přesnou specifikaci (možno odkazem na přiložený dodací list),</w:t>
      </w:r>
    </w:p>
    <w:p w14:paraId="29847E4F"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odkaz na tuto smlouvu,</w:t>
      </w:r>
    </w:p>
    <w:p w14:paraId="5AEE72F1"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dodací list(y).</w:t>
      </w:r>
    </w:p>
    <w:p w14:paraId="08BC6404" w14:textId="77777777" w:rsidR="00B57DD9" w:rsidRPr="001F7F4A" w:rsidRDefault="00B57DD9" w:rsidP="00B57DD9">
      <w:pPr>
        <w:pStyle w:val="Zkladntext"/>
        <w:tabs>
          <w:tab w:val="left" w:pos="-3261"/>
          <w:tab w:val="left" w:pos="-2835"/>
          <w:tab w:val="left" w:pos="-1276"/>
        </w:tabs>
        <w:ind w:left="720"/>
        <w:rPr>
          <w:rFonts w:ascii="Calibri" w:hAnsi="Calibri" w:cs="Calibri"/>
          <w:sz w:val="22"/>
          <w:szCs w:val="22"/>
        </w:rPr>
      </w:pPr>
    </w:p>
    <w:p w14:paraId="3E55A679"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206A7A4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takovém případě se přerušuje běh lhůty splatnosti všech dosud neuhrazených faktur a lhůta </w:t>
      </w:r>
      <w:r w:rsidRPr="001F7F4A">
        <w:rPr>
          <w:rFonts w:ascii="Calibri" w:hAnsi="Calibri" w:cs="Calibri"/>
          <w:sz w:val="22"/>
          <w:szCs w:val="22"/>
        </w:rPr>
        <w:lastRenderedPageBreak/>
        <w:t>splatnosti počíná znovu běžet dnem následujícím po splnění závazků prodávajícího.</w:t>
      </w: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IV</w:t>
      </w:r>
    </w:p>
    <w:p w14:paraId="31C8A69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Záruky, práva z vad</w:t>
      </w:r>
    </w:p>
    <w:p w14:paraId="79AC7A0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68D31438" w14:textId="6772EAEA" w:rsidR="00B57DD9" w:rsidRPr="00A83794" w:rsidRDefault="00A83794" w:rsidP="00A83794">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Pr>
          <w:rFonts w:ascii="Calibri" w:hAnsi="Calibri" w:cs="Calibri"/>
          <w:sz w:val="22"/>
          <w:szCs w:val="22"/>
        </w:rPr>
        <w:t>J</w:t>
      </w:r>
      <w:r w:rsidRPr="003C73E9">
        <w:rPr>
          <w:rFonts w:ascii="Calibri" w:hAnsi="Calibri" w:cs="Calibri"/>
          <w:sz w:val="22"/>
          <w:szCs w:val="22"/>
        </w:rPr>
        <w:t>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12 měsíců.</w:t>
      </w:r>
    </w:p>
    <w:p w14:paraId="04BB9DE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77777777" w:rsidR="00B57DD9" w:rsidRPr="001F7F4A" w:rsidRDefault="00B57DD9" w:rsidP="00B57DD9">
      <w:pPr>
        <w:pStyle w:val="Odstavecseseznamem"/>
        <w:numPr>
          <w:ilvl w:val="0"/>
          <w:numId w:val="20"/>
        </w:numPr>
        <w:autoSpaceDE w:val="0"/>
        <w:autoSpaceDN w:val="0"/>
        <w:adjustRightInd w:val="0"/>
        <w:spacing w:after="240"/>
        <w:contextualSpacing w:val="0"/>
        <w:jc w:val="both"/>
        <w:rPr>
          <w:rFonts w:ascii="Calibri" w:hAnsi="Calibri" w:cs="Calibri"/>
          <w:color w:val="000000"/>
          <w:szCs w:val="22"/>
        </w:rPr>
      </w:pPr>
      <w:r w:rsidRPr="001F7F4A">
        <w:rPr>
          <w:rFonts w:ascii="Calibri" w:hAnsi="Calibri" w:cs="Calibri"/>
          <w:color w:val="000000"/>
          <w:szCs w:val="22"/>
        </w:rPr>
        <w:t>Prodávající je povinen vyřídit reklamaci do 48 hod. od jejího doručení, nebude-li v konkrétním případě dohodnuto jinak. V případě reklamace zboží z důvodu pochybnosti o kvalitě dodávky nebo v případě stahování léčivého přípravku z důvodu závady v jakosti dle sdělení SÚKL, bude zboží obratem nejpozději do 24 hod. vyměněno za nové, které nebude vykazovat obdobné závady, bez ohledu na aktuální stav průběhu reklamačního řízení.</w:t>
      </w:r>
    </w:p>
    <w:p w14:paraId="48A1C69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w:t>
      </w:r>
    </w:p>
    <w:p w14:paraId="35A649D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Doba trvání, Ukončení smlouvy</w:t>
      </w:r>
    </w:p>
    <w:p w14:paraId="476A78B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AA6019C" w14:textId="2E478F93"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D07A28">
        <w:rPr>
          <w:rFonts w:ascii="Calibri" w:hAnsi="Calibri" w:cs="Calibri"/>
          <w:sz w:val="22"/>
          <w:szCs w:val="22"/>
        </w:rPr>
        <w:t>4</w:t>
      </w:r>
      <w:r w:rsidRPr="001F7F4A">
        <w:rPr>
          <w:rFonts w:ascii="Calibri" w:hAnsi="Calibri" w:cs="Calibri"/>
          <w:sz w:val="22"/>
          <w:szCs w:val="22"/>
        </w:rPr>
        <w:t xml:space="preserve"> let, tj. </w:t>
      </w:r>
      <w:r w:rsidR="00D07A28">
        <w:rPr>
          <w:rFonts w:ascii="Calibri" w:hAnsi="Calibri" w:cs="Calibri"/>
          <w:sz w:val="22"/>
          <w:szCs w:val="22"/>
        </w:rPr>
        <w:t>48</w:t>
      </w:r>
      <w:r w:rsidRPr="001F7F4A">
        <w:rPr>
          <w:rFonts w:ascii="Calibri" w:hAnsi="Calibri" w:cs="Calibri"/>
          <w:sz w:val="22"/>
          <w:szCs w:val="22"/>
        </w:rPr>
        <w:t xml:space="preserve"> měsíců od podpisu smlouvy.</w:t>
      </w:r>
    </w:p>
    <w:p w14:paraId="2D98A48D"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w:t>
      </w:r>
    </w:p>
    <w:p w14:paraId="6F5D90C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7387C6A1"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3ADC1270" w14:textId="77777777" w:rsidR="00B57DD9" w:rsidRPr="001F7F4A" w:rsidRDefault="00B57DD9" w:rsidP="00B57DD9">
      <w:pPr>
        <w:pStyle w:val="Zkladntext"/>
        <w:widowControl w:val="0"/>
        <w:numPr>
          <w:ilvl w:val="0"/>
          <w:numId w:val="17"/>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Každý ze smluvních partnerů má určené odpovědné zástupce, kteří </w:t>
      </w:r>
      <w:bookmarkStart w:id="4" w:name="_Hlk535337747"/>
      <w:r w:rsidRPr="001F7F4A">
        <w:rPr>
          <w:rFonts w:ascii="Calibri" w:hAnsi="Calibri" w:cs="Calibri"/>
          <w:sz w:val="22"/>
          <w:szCs w:val="22"/>
        </w:rPr>
        <w:t>zodpovídají za plnění úkolů a dodávek podle této smlouvy</w:t>
      </w:r>
      <w:bookmarkEnd w:id="4"/>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249"/>
        <w:gridCol w:w="2635"/>
        <w:gridCol w:w="1304"/>
        <w:gridCol w:w="2448"/>
      </w:tblGrid>
      <w:tr w:rsidR="00B57DD9" w:rsidRPr="001F7F4A" w14:paraId="7847513F" w14:textId="77777777" w:rsidTr="009F1C45">
        <w:tc>
          <w:tcPr>
            <w:tcW w:w="9203" w:type="dxa"/>
            <w:gridSpan w:val="4"/>
            <w:shd w:val="clear" w:color="auto" w:fill="E7E6E6" w:themeFill="background2"/>
          </w:tcPr>
          <w:p w14:paraId="27BC2795"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Prodávající</w:t>
            </w:r>
          </w:p>
        </w:tc>
      </w:tr>
      <w:tr w:rsidR="00B57DD9" w:rsidRPr="001F7F4A" w14:paraId="6F76D76F" w14:textId="77777777" w:rsidTr="009F1C45">
        <w:tc>
          <w:tcPr>
            <w:tcW w:w="2383" w:type="dxa"/>
          </w:tcPr>
          <w:p w14:paraId="6304E116"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F1C45">
        <w:tc>
          <w:tcPr>
            <w:tcW w:w="2383" w:type="dxa"/>
          </w:tcPr>
          <w:p w14:paraId="3D33BFED"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F1C45">
            <w:pPr>
              <w:pStyle w:val="Zkladntext"/>
              <w:jc w:val="center"/>
              <w:rPr>
                <w:rFonts w:ascii="Calibri" w:hAnsi="Calibri" w:cs="Calibri"/>
                <w:sz w:val="22"/>
                <w:szCs w:val="22"/>
              </w:rPr>
            </w:pPr>
          </w:p>
        </w:tc>
        <w:tc>
          <w:tcPr>
            <w:tcW w:w="1348" w:type="dxa"/>
          </w:tcPr>
          <w:p w14:paraId="69EA233D" w14:textId="77777777" w:rsidR="00B57DD9" w:rsidRPr="001F7F4A" w:rsidRDefault="00B57DD9" w:rsidP="009F1C45">
            <w:pPr>
              <w:pStyle w:val="Zkladntext"/>
              <w:jc w:val="center"/>
              <w:rPr>
                <w:rFonts w:ascii="Calibri" w:hAnsi="Calibri" w:cs="Calibri"/>
                <w:sz w:val="22"/>
                <w:szCs w:val="22"/>
              </w:rPr>
            </w:pPr>
          </w:p>
        </w:tc>
        <w:tc>
          <w:tcPr>
            <w:tcW w:w="2640" w:type="dxa"/>
          </w:tcPr>
          <w:p w14:paraId="5656D79D"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F1C45">
        <w:tc>
          <w:tcPr>
            <w:tcW w:w="2383" w:type="dxa"/>
            <w:tcBorders>
              <w:bottom w:val="single" w:sz="4" w:space="0" w:color="auto"/>
            </w:tcBorders>
          </w:tcPr>
          <w:p w14:paraId="319CC35D"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F1C45">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F1C45">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F1C45">
        <w:tc>
          <w:tcPr>
            <w:tcW w:w="2383" w:type="dxa"/>
            <w:tcBorders>
              <w:bottom w:val="single" w:sz="4" w:space="0" w:color="auto"/>
            </w:tcBorders>
          </w:tcPr>
          <w:p w14:paraId="273218E2"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F1C45">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F1C45">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F1C45">
        <w:tc>
          <w:tcPr>
            <w:tcW w:w="2383" w:type="dxa"/>
            <w:tcBorders>
              <w:bottom w:val="single" w:sz="4" w:space="0" w:color="auto"/>
            </w:tcBorders>
          </w:tcPr>
          <w:p w14:paraId="07744643"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F1C45">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F1C45">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F1C45">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F1C45">
        <w:tc>
          <w:tcPr>
            <w:tcW w:w="9203" w:type="dxa"/>
            <w:gridSpan w:val="4"/>
            <w:shd w:val="clear" w:color="auto" w:fill="E7E6E6" w:themeFill="background2"/>
          </w:tcPr>
          <w:p w14:paraId="7172AA31"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Kupující - Pověřená osoba</w:t>
            </w:r>
          </w:p>
        </w:tc>
      </w:tr>
      <w:tr w:rsidR="00B57DD9" w:rsidRPr="001F7F4A" w14:paraId="4E089831" w14:textId="77777777" w:rsidTr="009F1C45">
        <w:trPr>
          <w:trHeight w:val="368"/>
        </w:trPr>
        <w:tc>
          <w:tcPr>
            <w:tcW w:w="2383" w:type="dxa"/>
            <w:vAlign w:val="center"/>
          </w:tcPr>
          <w:p w14:paraId="07A5A321"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F1C45">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F1C45">
        <w:tc>
          <w:tcPr>
            <w:tcW w:w="2383" w:type="dxa"/>
            <w:vAlign w:val="center"/>
          </w:tcPr>
          <w:p w14:paraId="3AC3775A" w14:textId="77777777" w:rsidR="00B57DD9" w:rsidRPr="001F7F4A" w:rsidRDefault="00B57DD9" w:rsidP="009F1C45">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F1C45">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F1C45">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F1C45">
            <w:pPr>
              <w:pStyle w:val="Zkladntext"/>
              <w:rPr>
                <w:rFonts w:ascii="Calibri" w:hAnsi="Calibri" w:cs="Calibri"/>
                <w:b/>
                <w:sz w:val="22"/>
                <w:szCs w:val="22"/>
              </w:rPr>
            </w:pPr>
          </w:p>
        </w:tc>
      </w:tr>
      <w:tr w:rsidR="00B57DD9" w:rsidRPr="001F7F4A" w14:paraId="516D74C1" w14:textId="77777777" w:rsidTr="009F1C45">
        <w:tc>
          <w:tcPr>
            <w:tcW w:w="2383" w:type="dxa"/>
            <w:vAlign w:val="center"/>
          </w:tcPr>
          <w:p w14:paraId="786B05B5" w14:textId="77777777" w:rsidR="00B57DD9" w:rsidRPr="001F7F4A" w:rsidRDefault="00B57DD9" w:rsidP="009F1C45">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F1C45">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F1C45">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F1C45">
            <w:pPr>
              <w:pStyle w:val="Zkladntext"/>
              <w:rPr>
                <w:rFonts w:ascii="Calibri" w:hAnsi="Calibri" w:cs="Calibri"/>
                <w:b/>
                <w:sz w:val="22"/>
                <w:szCs w:val="22"/>
              </w:rPr>
            </w:pPr>
          </w:p>
        </w:tc>
      </w:tr>
      <w:tr w:rsidR="00B57DD9" w:rsidRPr="001F7F4A" w14:paraId="2F101203" w14:textId="77777777" w:rsidTr="009F1C45">
        <w:tc>
          <w:tcPr>
            <w:tcW w:w="2383" w:type="dxa"/>
            <w:vAlign w:val="center"/>
          </w:tcPr>
          <w:p w14:paraId="6F24EB39" w14:textId="77777777" w:rsidR="00B57DD9" w:rsidRPr="001F7F4A" w:rsidRDefault="00B57DD9" w:rsidP="009F1C45">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F1C45">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F1C45">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F1C45">
            <w:pPr>
              <w:pStyle w:val="Zkladntext"/>
              <w:rPr>
                <w:rFonts w:ascii="Calibri" w:hAnsi="Calibri" w:cs="Calibri"/>
                <w:b/>
                <w:sz w:val="22"/>
                <w:szCs w:val="22"/>
              </w:rPr>
            </w:pPr>
          </w:p>
        </w:tc>
      </w:tr>
    </w:tbl>
    <w:p w14:paraId="168FC746" w14:textId="77777777" w:rsidR="00B57DD9" w:rsidRPr="001F7F4A" w:rsidRDefault="00B57DD9" w:rsidP="001E7E65">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w:t>
      </w:r>
    </w:p>
    <w:p w14:paraId="24DC752A"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Ostatní ujednání</w:t>
      </w:r>
    </w:p>
    <w:p w14:paraId="3887909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833BAEF" w14:textId="16C4AEB7" w:rsidR="00804865" w:rsidRDefault="00804865" w:rsidP="00804865">
      <w:pPr>
        <w:widowControl w:val="0"/>
        <w:numPr>
          <w:ilvl w:val="0"/>
          <w:numId w:val="18"/>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26F6BB0" w14:textId="77777777" w:rsidR="00804865" w:rsidRPr="007D4423" w:rsidRDefault="00804865" w:rsidP="00804865">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26ACB4E2" w14:textId="5783042C"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souhlasí se zveřejněním všech náležitostí smluvního vztahu včetně kupní smlouvy a výsledků zadávacího řízení na profilu kupujícího. V případě uzavření smlouvy na plnění této veřejné zakázky Prodávající souhlasí s uveřejněním smlouvy a dílčích objednávek v souladu se zákonem č. 340/2015 Sb., o registru smluv.</w:t>
      </w:r>
    </w:p>
    <w:p w14:paraId="22C0245C"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Smluvní strany sjednávají, že pohledávku dle této smlouvy nebo smlouvu samotnou nelze postoupit třetí osobě bez předchozího písemného souhlasu druhé smluvní strany.</w:t>
      </w: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66620A7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Smluvní pokuty</w:t>
      </w:r>
    </w:p>
    <w:p w14:paraId="5A375D5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190435E9" w14:textId="5FFF20F4" w:rsidR="00B57DD9" w:rsidRDefault="00B57DD9"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4E02B00A" w:rsidR="00804865" w:rsidRPr="001F7F4A" w:rsidRDefault="00804865"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r>
        <w:rPr>
          <w:rFonts w:ascii="Calibri" w:hAnsi="Calibri" w:cs="Calibri"/>
          <w:sz w:val="22"/>
          <w:szCs w:val="22"/>
        </w:rPr>
        <w:t>1.000,- Kč</w:t>
      </w:r>
      <w:r w:rsidRPr="001F7F4A">
        <w:rPr>
          <w:rFonts w:ascii="Calibri" w:hAnsi="Calibri" w:cs="Calibri"/>
          <w:sz w:val="22"/>
          <w:szCs w:val="22"/>
        </w:rPr>
        <w:t xml:space="preserve"> za každý i započatý den prodlení.</w:t>
      </w:r>
    </w:p>
    <w:p w14:paraId="5194EFAE" w14:textId="2ECAFCE3"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bookmarkStart w:id="5" w:name="_Hlk536537602"/>
      <w:r w:rsidRPr="001F7F4A">
        <w:rPr>
          <w:rFonts w:ascii="Calibri" w:hAnsi="Calibri" w:cs="Calibri"/>
          <w:sz w:val="22"/>
          <w:szCs w:val="22"/>
        </w:rPr>
        <w:t>Prodávající se zavazuje v případě, že neodstraní oprávněně reklamované vady ve lhůtách stanovených touto smlouvou, uhradit kupujícímu smluvní pokutu ve výši 1.000</w:t>
      </w:r>
      <w:r w:rsidR="00804865">
        <w:rPr>
          <w:rFonts w:ascii="Calibri" w:hAnsi="Calibri" w:cs="Calibri"/>
          <w:sz w:val="22"/>
          <w:szCs w:val="22"/>
        </w:rPr>
        <w:t>,-</w:t>
      </w:r>
      <w:r w:rsidRPr="001F7F4A">
        <w:rPr>
          <w:rFonts w:ascii="Calibri" w:hAnsi="Calibri" w:cs="Calibri"/>
          <w:sz w:val="22"/>
          <w:szCs w:val="22"/>
        </w:rPr>
        <w:t xml:space="preserve"> Kč za každý, byť jen započatý den prodlení.</w:t>
      </w:r>
    </w:p>
    <w:bookmarkEnd w:id="5"/>
    <w:p w14:paraId="59BBBD5A" w14:textId="1A2EA1DB"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155666">
      <w:pPr>
        <w:pStyle w:val="Odstavecseseznamem"/>
        <w:numPr>
          <w:ilvl w:val="0"/>
          <w:numId w:val="19"/>
        </w:numPr>
        <w:tabs>
          <w:tab w:val="left" w:pos="-3261"/>
          <w:tab w:val="left" w:pos="-2835"/>
          <w:tab w:val="left" w:pos="-1276"/>
        </w:tabs>
        <w:autoSpaceDE w:val="0"/>
        <w:autoSpaceDN w:val="0"/>
        <w:adjustRightInd w:val="0"/>
        <w:spacing w:after="240"/>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pokuta bude vyúčtována samostatným daňovým dokladem, splatnost smluvní pokuty činí 30 dnů ode dne doručení vyúčtování prodávajícímu.</w:t>
      </w: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4F0953F4"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Závěrečná ustanovení</w:t>
      </w:r>
    </w:p>
    <w:p w14:paraId="33E6A051"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1A113C0"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zavazují řešit sporné otázky smírnou cestou. V případě soudního sporu ujednávají v souladu s § 89a zákona č. 99/1963 Sb., občanského soudního řádu, v platném znění, místní příslušnost obecného soudu kupujícího.</w:t>
      </w:r>
    </w:p>
    <w:p w14:paraId="5858B75A"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415ED045"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1FA3C220" w14:textId="3AF372CC" w:rsidR="00391F82"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Tato smlouva je vyhotovena ve 2 stejnopisech s platností originálu, z nichž každá ze smluvních stran obdrží smlouvu v 1 vyhotovení.</w:t>
      </w:r>
    </w:p>
    <w:p w14:paraId="2887C5C4" w14:textId="77777777" w:rsidR="002D20AE" w:rsidRPr="002D20AE" w:rsidRDefault="002D20AE" w:rsidP="002D20AE">
      <w:pPr>
        <w:pStyle w:val="Zkladntext"/>
        <w:widowControl w:val="0"/>
        <w:tabs>
          <w:tab w:val="left" w:pos="-3261"/>
          <w:tab w:val="left" w:pos="-2835"/>
          <w:tab w:val="left" w:pos="-1276"/>
        </w:tabs>
        <w:autoSpaceDE w:val="0"/>
        <w:autoSpaceDN w:val="0"/>
        <w:adjustRightInd w:val="0"/>
        <w:spacing w:after="240"/>
        <w:ind w:left="360"/>
        <w:jc w:val="both"/>
        <w:rPr>
          <w:rFonts w:ascii="Calibri" w:hAnsi="Calibri" w:cs="Calibri"/>
          <w:sz w:val="22"/>
          <w:szCs w:val="22"/>
        </w:rPr>
      </w:pPr>
    </w:p>
    <w:p w14:paraId="29D94E7D" w14:textId="685B0B4E" w:rsidR="00B57DD9" w:rsidRPr="00391F82" w:rsidRDefault="00B57DD9" w:rsidP="00B57DD9">
      <w:pPr>
        <w:pStyle w:val="Zkladntext"/>
        <w:tabs>
          <w:tab w:val="left" w:pos="-3261"/>
          <w:tab w:val="left" w:pos="-2835"/>
          <w:tab w:val="left" w:pos="-1276"/>
        </w:tabs>
        <w:rPr>
          <w:rFonts w:ascii="Calibri" w:hAnsi="Calibri" w:cs="Calibri"/>
          <w:bCs/>
          <w:sz w:val="22"/>
          <w:szCs w:val="22"/>
        </w:rPr>
      </w:pPr>
      <w:r w:rsidRPr="00391F82">
        <w:rPr>
          <w:rFonts w:ascii="Calibri" w:hAnsi="Calibri" w:cs="Calibri"/>
          <w:bCs/>
          <w:sz w:val="22"/>
          <w:szCs w:val="22"/>
        </w:rPr>
        <w:t>Přílohy, které jsou součástí této smlouvy:</w:t>
      </w:r>
    </w:p>
    <w:p w14:paraId="10A4EAF4" w14:textId="385F2AB2"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00391F82">
        <w:rPr>
          <w:rFonts w:ascii="Calibri" w:hAnsi="Calibri" w:cs="Calibri"/>
          <w:sz w:val="22"/>
          <w:szCs w:val="22"/>
        </w:rPr>
        <w:t xml:space="preserve"> </w:t>
      </w:r>
      <w:r w:rsidRPr="001F7F4A">
        <w:rPr>
          <w:rFonts w:ascii="Calibri" w:hAnsi="Calibri" w:cs="Calibri"/>
          <w:sz w:val="22"/>
          <w:szCs w:val="22"/>
        </w:rPr>
        <w:t>Položkový ceník zboží (účastníci vyplní a přiloží do nabídky)</w:t>
      </w:r>
    </w:p>
    <w:p w14:paraId="4FD745B4" w14:textId="77777777" w:rsidR="00AF66FC" w:rsidRPr="001F7F4A" w:rsidRDefault="00AF66FC" w:rsidP="00AF66FC">
      <w:pPr>
        <w:ind w:right="-766"/>
        <w:jc w:val="both"/>
        <w:rPr>
          <w:rFonts w:ascii="Calibri" w:hAnsi="Calibri" w:cs="Calibri"/>
          <w:sz w:val="22"/>
          <w:szCs w:val="22"/>
        </w:rPr>
      </w:pPr>
    </w:p>
    <w:p w14:paraId="1099F444" w14:textId="77777777" w:rsidR="00AF66FC" w:rsidRPr="001F7F4A" w:rsidRDefault="00AF66FC" w:rsidP="00AF66FC">
      <w:pPr>
        <w:jc w:val="both"/>
        <w:rPr>
          <w:rFonts w:ascii="Calibri" w:hAnsi="Calibri" w:cs="Calibri"/>
          <w:sz w:val="22"/>
          <w:szCs w:val="22"/>
        </w:rPr>
      </w:pPr>
    </w:p>
    <w:p w14:paraId="7D3CA16D" w14:textId="61DABA69" w:rsidR="00AF66FC" w:rsidRPr="001F7F4A" w:rsidRDefault="00AF66FC" w:rsidP="002D20AE">
      <w:pPr>
        <w:shd w:val="clear" w:color="auto" w:fill="FFFFFF" w:themeFill="background1"/>
        <w:tabs>
          <w:tab w:val="left" w:pos="5103"/>
        </w:tabs>
        <w:rPr>
          <w:rFonts w:ascii="Calibri" w:hAnsi="Calibri" w:cs="Calibri"/>
          <w:sz w:val="22"/>
          <w:szCs w:val="22"/>
        </w:rPr>
      </w:pPr>
      <w:r w:rsidRPr="001F7F4A">
        <w:rPr>
          <w:rFonts w:ascii="Calibri" w:hAnsi="Calibri" w:cs="Calibri"/>
          <w:sz w:val="22"/>
          <w:szCs w:val="22"/>
        </w:rPr>
        <w:t>V Pardubicích dne …………………</w:t>
      </w:r>
      <w:r w:rsidRPr="001F7F4A">
        <w:rPr>
          <w:rFonts w:ascii="Calibri" w:hAnsi="Calibri" w:cs="Calibri"/>
          <w:sz w:val="22"/>
          <w:szCs w:val="22"/>
        </w:rPr>
        <w:tab/>
        <w:t>V ………..…… dne</w:t>
      </w:r>
    </w:p>
    <w:p w14:paraId="1A09D2CD" w14:textId="77777777"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1F2E3BFE" w:rsidR="00AF66FC" w:rsidRPr="001F7F4A" w:rsidRDefault="00AF66FC" w:rsidP="002D20AE">
      <w:pPr>
        <w:pStyle w:val="Zkladntext3"/>
      </w:pPr>
      <w:r w:rsidRPr="001F7F4A">
        <w:t>Za kupujícího:</w:t>
      </w:r>
      <w:r w:rsidRPr="001F7F4A">
        <w:tab/>
      </w:r>
      <w:r w:rsidRPr="001F7F4A">
        <w:tab/>
      </w:r>
      <w:r w:rsidRPr="001F7F4A">
        <w:tab/>
      </w:r>
      <w:r w:rsidRPr="001F7F4A">
        <w:tab/>
      </w:r>
      <w:r w:rsidRPr="001F7F4A">
        <w:tab/>
      </w:r>
      <w:r w:rsidRPr="001F7F4A">
        <w:tab/>
      </w:r>
      <w:r w:rsidR="002D20AE">
        <w:tab/>
      </w:r>
      <w:r w:rsidRPr="001F7F4A">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77777777" w:rsidR="00AF66FC" w:rsidRPr="001F7F4A" w:rsidRDefault="00AF66FC" w:rsidP="00AF66FC">
      <w:pPr>
        <w:rPr>
          <w:rFonts w:ascii="Calibri" w:hAnsi="Calibri" w:cs="Calibri"/>
          <w:sz w:val="22"/>
          <w:szCs w:val="22"/>
          <w:shd w:val="clear" w:color="auto" w:fill="FFFFFF" w:themeFill="background1"/>
        </w:rPr>
      </w:pPr>
    </w:p>
    <w:p w14:paraId="5AF6712C" w14:textId="22DC584C" w:rsidR="00AF66FC" w:rsidRDefault="00AF66FC" w:rsidP="00AF66FC">
      <w:pPr>
        <w:rPr>
          <w:rFonts w:ascii="Calibri" w:hAnsi="Calibri" w:cs="Calibri"/>
          <w:bCs/>
          <w:sz w:val="22"/>
          <w:szCs w:val="22"/>
        </w:rPr>
      </w:pPr>
    </w:p>
    <w:p w14:paraId="7A341886" w14:textId="3B9DC05F" w:rsidR="002D20AE" w:rsidRDefault="002D20AE" w:rsidP="00AF66FC">
      <w:pPr>
        <w:rPr>
          <w:rFonts w:ascii="Calibri" w:hAnsi="Calibri" w:cs="Calibri"/>
          <w:bCs/>
          <w:sz w:val="22"/>
          <w:szCs w:val="22"/>
        </w:rPr>
      </w:pPr>
    </w:p>
    <w:p w14:paraId="2DE9C15F" w14:textId="77777777" w:rsidR="002D20AE" w:rsidRDefault="002D20AE" w:rsidP="00AF66FC">
      <w:pPr>
        <w:rPr>
          <w:rFonts w:ascii="Calibri" w:hAnsi="Calibri" w:cs="Calibri"/>
          <w:bCs/>
          <w:sz w:val="22"/>
          <w:szCs w:val="22"/>
        </w:rPr>
      </w:pPr>
    </w:p>
    <w:p w14:paraId="45539749" w14:textId="32DF95A0" w:rsidR="002D20AE" w:rsidRDefault="002D20AE" w:rsidP="00AF66FC">
      <w:pPr>
        <w:rPr>
          <w:rFonts w:ascii="Calibri" w:hAnsi="Calibri" w:cs="Calibri"/>
          <w:bCs/>
          <w:sz w:val="22"/>
          <w:szCs w:val="22"/>
        </w:rPr>
      </w:pPr>
    </w:p>
    <w:p w14:paraId="467BE741" w14:textId="568817F8" w:rsidR="002D20AE" w:rsidRPr="002D20AE" w:rsidRDefault="002D20AE" w:rsidP="002D20AE">
      <w:pPr>
        <w:pStyle w:val="Zkladntext3"/>
        <w:rPr>
          <w:bCs/>
        </w:rPr>
      </w:pPr>
      <w:r w:rsidRPr="002D20AE">
        <w:rPr>
          <w:bCs/>
        </w:rPr>
        <w:t>……………………………………………………………</w:t>
      </w:r>
      <w:r w:rsidRPr="002D20AE">
        <w:rPr>
          <w:bCs/>
        </w:rPr>
        <w:tab/>
        <w:t>………………………………………………………..</w:t>
      </w:r>
    </w:p>
    <w:p w14:paraId="3B607B61" w14:textId="2BC7D312"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7BAC3093" w:rsidR="00AF66FC" w:rsidRDefault="00AF66FC" w:rsidP="00AF66FC">
      <w:pPr>
        <w:rPr>
          <w:rFonts w:ascii="Calibri" w:hAnsi="Calibri" w:cs="Calibri"/>
          <w:bCs/>
          <w:sz w:val="22"/>
          <w:szCs w:val="22"/>
        </w:rPr>
      </w:pPr>
    </w:p>
    <w:p w14:paraId="17D07A28" w14:textId="77777777" w:rsidR="002D20AE" w:rsidRPr="001F7F4A" w:rsidRDefault="002D20AE" w:rsidP="00AF66FC">
      <w:pPr>
        <w:rPr>
          <w:rFonts w:ascii="Calibri" w:hAnsi="Calibri" w:cs="Calibri"/>
          <w:bCs/>
          <w:sz w:val="22"/>
          <w:szCs w:val="22"/>
        </w:rPr>
      </w:pPr>
    </w:p>
    <w:p w14:paraId="6524B689" w14:textId="77777777" w:rsidR="00AF66FC" w:rsidRPr="001F7F4A" w:rsidRDefault="00AF66FC" w:rsidP="00AF66FC">
      <w:pPr>
        <w:rPr>
          <w:rFonts w:ascii="Calibri" w:hAnsi="Calibri" w:cs="Calibri"/>
          <w:bCs/>
          <w:sz w:val="22"/>
          <w:szCs w:val="22"/>
        </w:rPr>
      </w:pPr>
    </w:p>
    <w:p w14:paraId="4C7BA3F3" w14:textId="6EAA51DC" w:rsidR="00AF66FC" w:rsidRPr="002D20AE" w:rsidRDefault="002D20AE" w:rsidP="002D20AE">
      <w:pPr>
        <w:pStyle w:val="Zkladntext3"/>
        <w:rPr>
          <w:bCs/>
        </w:rPr>
      </w:pPr>
      <w:r w:rsidRPr="002D20AE">
        <w:rPr>
          <w:bCs/>
        </w:rPr>
        <w:t>……………………………………………………………</w:t>
      </w:r>
      <w:r w:rsidRPr="002D20AE">
        <w:rPr>
          <w:bCs/>
        </w:rPr>
        <w:tab/>
        <w:t>………………………………………………………..</w:t>
      </w:r>
    </w:p>
    <w:p w14:paraId="3E4D769F"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3D269F" w:rsidRPr="001F7F4A">
        <w:rPr>
          <w:rFonts w:ascii="Calibri" w:hAnsi="Calibri" w:cs="Calibri"/>
          <w:bCs/>
          <w:sz w:val="22"/>
          <w:szCs w:val="22"/>
        </w:rPr>
        <w:t>František Lešundák</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7836C81B" w14:textId="1919E803" w:rsidR="007E62E9" w:rsidRDefault="007E62E9" w:rsidP="00AF66FC">
      <w:pPr>
        <w:rPr>
          <w:rFonts w:ascii="Calibri" w:hAnsi="Calibri" w:cs="Calibri"/>
          <w:b/>
          <w:sz w:val="22"/>
          <w:szCs w:val="22"/>
        </w:rPr>
      </w:pPr>
      <w:r>
        <w:rPr>
          <w:rFonts w:ascii="Calibri" w:hAnsi="Calibri" w:cs="Calibri"/>
          <w:b/>
          <w:sz w:val="22"/>
          <w:szCs w:val="22"/>
        </w:rPr>
        <w:lastRenderedPageBreak/>
        <w:t>Příloha A – položkový rozpočet</w:t>
      </w:r>
      <w:r w:rsidR="009811A9">
        <w:rPr>
          <w:rFonts w:ascii="Calibri" w:hAnsi="Calibri" w:cs="Calibri"/>
          <w:b/>
          <w:sz w:val="22"/>
          <w:szCs w:val="22"/>
        </w:rPr>
        <w:t xml:space="preserve"> </w:t>
      </w:r>
      <w:r w:rsidR="001E7E65">
        <w:rPr>
          <w:rFonts w:ascii="Calibri" w:hAnsi="Calibri" w:cs="Calibri"/>
          <w:b/>
          <w:sz w:val="22"/>
          <w:szCs w:val="22"/>
        </w:rPr>
        <w:t>–</w:t>
      </w:r>
      <w:r w:rsidR="009811A9">
        <w:rPr>
          <w:rFonts w:ascii="Calibri" w:hAnsi="Calibri" w:cs="Calibri"/>
          <w:b/>
          <w:sz w:val="22"/>
          <w:szCs w:val="22"/>
        </w:rPr>
        <w:t xml:space="preserve"> </w:t>
      </w:r>
      <w:r w:rsidR="001E7E65">
        <w:rPr>
          <w:rFonts w:ascii="Calibri" w:hAnsi="Calibri" w:cs="Calibri"/>
          <w:b/>
          <w:sz w:val="22"/>
          <w:szCs w:val="22"/>
        </w:rPr>
        <w:t>spotřební materiál</w:t>
      </w:r>
    </w:p>
    <w:p w14:paraId="47AD2C00" w14:textId="597DC774" w:rsidR="007E62E9" w:rsidRDefault="007E62E9" w:rsidP="00AF66FC">
      <w:pPr>
        <w:rPr>
          <w:rFonts w:ascii="Calibri" w:hAnsi="Calibri" w:cs="Calibri"/>
          <w:b/>
          <w:sz w:val="22"/>
          <w:szCs w:val="22"/>
        </w:rPr>
      </w:pPr>
    </w:p>
    <w:tbl>
      <w:tblPr>
        <w:tblW w:w="5165" w:type="pct"/>
        <w:tblLayout w:type="fixed"/>
        <w:tblCellMar>
          <w:left w:w="70" w:type="dxa"/>
          <w:right w:w="70" w:type="dxa"/>
        </w:tblCellMar>
        <w:tblLook w:val="00A0" w:firstRow="1" w:lastRow="0" w:firstColumn="1" w:lastColumn="0" w:noHBand="0" w:noVBand="0"/>
      </w:tblPr>
      <w:tblGrid>
        <w:gridCol w:w="1767"/>
        <w:gridCol w:w="1762"/>
        <w:gridCol w:w="1550"/>
        <w:gridCol w:w="719"/>
        <w:gridCol w:w="1700"/>
        <w:gridCol w:w="1842"/>
      </w:tblGrid>
      <w:tr w:rsidR="009811A9" w:rsidRPr="005E2562" w14:paraId="7D8E2C45" w14:textId="77777777" w:rsidTr="009811A9">
        <w:trPr>
          <w:trHeight w:val="805"/>
        </w:trPr>
        <w:tc>
          <w:tcPr>
            <w:tcW w:w="946" w:type="pct"/>
            <w:tcBorders>
              <w:top w:val="single" w:sz="12" w:space="0" w:color="auto"/>
              <w:left w:val="single" w:sz="12" w:space="0" w:color="auto"/>
              <w:bottom w:val="single" w:sz="12" w:space="0" w:color="auto"/>
              <w:right w:val="single" w:sz="12" w:space="0" w:color="auto"/>
            </w:tcBorders>
            <w:shd w:val="clear" w:color="000000" w:fill="F2F2F2"/>
            <w:vAlign w:val="center"/>
          </w:tcPr>
          <w:p w14:paraId="623E8F50" w14:textId="77777777" w:rsidR="009811A9" w:rsidRPr="005E2562"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Popis, název</w:t>
            </w:r>
          </w:p>
        </w:tc>
        <w:tc>
          <w:tcPr>
            <w:tcW w:w="943" w:type="pct"/>
            <w:tcBorders>
              <w:top w:val="single" w:sz="12" w:space="0" w:color="auto"/>
              <w:left w:val="single" w:sz="12" w:space="0" w:color="auto"/>
              <w:bottom w:val="single" w:sz="12" w:space="0" w:color="auto"/>
              <w:right w:val="single" w:sz="12" w:space="0" w:color="auto"/>
            </w:tcBorders>
            <w:shd w:val="clear" w:color="000000" w:fill="F2F2F2"/>
            <w:vAlign w:val="center"/>
          </w:tcPr>
          <w:p w14:paraId="150CCC3A" w14:textId="77777777" w:rsidR="009811A9" w:rsidRPr="005E2562"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Požadovaná hodnota,</w:t>
            </w:r>
          </w:p>
          <w:p w14:paraId="27039C0C" w14:textId="77777777" w:rsidR="009811A9" w:rsidRPr="005E2562"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doplněk názvu</w:t>
            </w:r>
          </w:p>
        </w:tc>
        <w:tc>
          <w:tcPr>
            <w:tcW w:w="830" w:type="pct"/>
            <w:tcBorders>
              <w:top w:val="single" w:sz="12" w:space="0" w:color="auto"/>
              <w:left w:val="single" w:sz="12" w:space="0" w:color="auto"/>
              <w:bottom w:val="single" w:sz="12" w:space="0" w:color="auto"/>
              <w:right w:val="single" w:sz="12" w:space="0" w:color="auto"/>
            </w:tcBorders>
            <w:shd w:val="clear" w:color="000000" w:fill="F2F2F2"/>
            <w:vAlign w:val="center"/>
          </w:tcPr>
          <w:p w14:paraId="50863D11" w14:textId="77777777" w:rsidR="009811A9" w:rsidRPr="005E2562"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 xml:space="preserve">Nabídková cena za 1 </w:t>
            </w:r>
            <w:r>
              <w:rPr>
                <w:rFonts w:asciiTheme="minorHAnsi" w:hAnsiTheme="minorHAnsi" w:cstheme="minorHAnsi"/>
                <w:b/>
                <w:bCs/>
                <w:sz w:val="18"/>
              </w:rPr>
              <w:t>kus</w:t>
            </w:r>
            <w:r w:rsidRPr="005E2562">
              <w:rPr>
                <w:rFonts w:asciiTheme="minorHAnsi" w:hAnsiTheme="minorHAnsi" w:cstheme="minorHAnsi"/>
                <w:b/>
                <w:bCs/>
                <w:sz w:val="18"/>
              </w:rPr>
              <w:t xml:space="preserve"> [Kč]</w:t>
            </w:r>
          </w:p>
          <w:p w14:paraId="48E1A4AB" w14:textId="77777777" w:rsidR="009811A9" w:rsidRPr="005E2562"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(bez DPH)</w:t>
            </w:r>
          </w:p>
        </w:tc>
        <w:tc>
          <w:tcPr>
            <w:tcW w:w="385" w:type="pct"/>
            <w:tcBorders>
              <w:top w:val="single" w:sz="12" w:space="0" w:color="auto"/>
              <w:left w:val="single" w:sz="12" w:space="0" w:color="auto"/>
              <w:bottom w:val="single" w:sz="12" w:space="0" w:color="auto"/>
              <w:right w:val="single" w:sz="12" w:space="0" w:color="auto"/>
            </w:tcBorders>
            <w:shd w:val="clear" w:color="000000" w:fill="F2F2F2"/>
            <w:vAlign w:val="center"/>
          </w:tcPr>
          <w:p w14:paraId="137718C1" w14:textId="77777777" w:rsidR="009811A9" w:rsidRPr="005E2562"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Sazba DPH</w:t>
            </w:r>
          </w:p>
          <w:p w14:paraId="5AFD556A" w14:textId="77777777" w:rsidR="009811A9" w:rsidRPr="005E2562" w:rsidRDefault="009811A9" w:rsidP="009F1C45">
            <w:pPr>
              <w:jc w:val="center"/>
              <w:rPr>
                <w:rFonts w:asciiTheme="minorHAnsi" w:hAnsiTheme="minorHAnsi" w:cstheme="minorHAnsi"/>
                <w:b/>
                <w:bCs/>
                <w:sz w:val="18"/>
              </w:rPr>
            </w:pPr>
            <w:r w:rsidRPr="00E33E45">
              <w:rPr>
                <w:rFonts w:asciiTheme="minorHAnsi" w:hAnsiTheme="minorHAnsi" w:cstheme="minorHAnsi"/>
                <w:b/>
                <w:bCs/>
                <w:sz w:val="18"/>
              </w:rPr>
              <w:t>[%]</w:t>
            </w:r>
          </w:p>
        </w:tc>
        <w:tc>
          <w:tcPr>
            <w:tcW w:w="910" w:type="pct"/>
            <w:tcBorders>
              <w:top w:val="single" w:sz="12" w:space="0" w:color="auto"/>
              <w:left w:val="single" w:sz="12" w:space="0" w:color="auto"/>
              <w:bottom w:val="single" w:sz="12" w:space="0" w:color="auto"/>
              <w:right w:val="single" w:sz="12" w:space="0" w:color="auto"/>
            </w:tcBorders>
            <w:shd w:val="clear" w:color="000000" w:fill="F2F2F2"/>
            <w:vAlign w:val="center"/>
          </w:tcPr>
          <w:p w14:paraId="43C2B147" w14:textId="77777777" w:rsidR="009811A9"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 xml:space="preserve">Nabídková cena za </w:t>
            </w:r>
            <w:r>
              <w:rPr>
                <w:rFonts w:asciiTheme="minorHAnsi" w:hAnsiTheme="minorHAnsi" w:cstheme="minorHAnsi"/>
                <w:b/>
                <w:bCs/>
                <w:sz w:val="18"/>
              </w:rPr>
              <w:t xml:space="preserve">1 kus </w:t>
            </w:r>
            <w:r w:rsidRPr="005E2562">
              <w:rPr>
                <w:rFonts w:asciiTheme="minorHAnsi" w:hAnsiTheme="minorHAnsi" w:cstheme="minorHAnsi"/>
                <w:b/>
                <w:bCs/>
                <w:sz w:val="18"/>
              </w:rPr>
              <w:t>[Kč]</w:t>
            </w:r>
          </w:p>
          <w:p w14:paraId="1F17CE9B" w14:textId="77777777" w:rsidR="009811A9" w:rsidRPr="005E2562" w:rsidRDefault="009811A9" w:rsidP="009F1C45">
            <w:pPr>
              <w:jc w:val="center"/>
              <w:rPr>
                <w:rFonts w:asciiTheme="minorHAnsi" w:hAnsiTheme="minorHAnsi" w:cstheme="minorHAnsi"/>
                <w:b/>
                <w:bCs/>
                <w:sz w:val="18"/>
              </w:rPr>
            </w:pPr>
            <w:r w:rsidRPr="005E2562">
              <w:rPr>
                <w:rFonts w:asciiTheme="minorHAnsi" w:hAnsiTheme="minorHAnsi" w:cstheme="minorHAnsi"/>
                <w:b/>
                <w:bCs/>
                <w:sz w:val="18"/>
              </w:rPr>
              <w:t>(</w:t>
            </w:r>
            <w:r>
              <w:rPr>
                <w:rFonts w:asciiTheme="minorHAnsi" w:hAnsiTheme="minorHAnsi" w:cstheme="minorHAnsi"/>
                <w:b/>
                <w:bCs/>
                <w:sz w:val="18"/>
              </w:rPr>
              <w:t>včetně</w:t>
            </w:r>
            <w:r w:rsidRPr="005E2562">
              <w:rPr>
                <w:rFonts w:asciiTheme="minorHAnsi" w:hAnsiTheme="minorHAnsi" w:cstheme="minorHAnsi"/>
                <w:b/>
                <w:bCs/>
                <w:sz w:val="18"/>
              </w:rPr>
              <w:t xml:space="preserve"> DPH)</w:t>
            </w:r>
          </w:p>
        </w:tc>
        <w:tc>
          <w:tcPr>
            <w:tcW w:w="986" w:type="pct"/>
            <w:tcBorders>
              <w:top w:val="single" w:sz="12" w:space="0" w:color="auto"/>
              <w:left w:val="single" w:sz="12" w:space="0" w:color="auto"/>
              <w:bottom w:val="single" w:sz="12" w:space="0" w:color="auto"/>
              <w:right w:val="single" w:sz="12" w:space="0" w:color="auto"/>
            </w:tcBorders>
            <w:shd w:val="clear" w:color="000000" w:fill="F2F2F2"/>
            <w:vAlign w:val="center"/>
          </w:tcPr>
          <w:p w14:paraId="6F5DD3AB" w14:textId="77777777" w:rsidR="009811A9" w:rsidRPr="005E2562" w:rsidRDefault="009811A9" w:rsidP="009F1C45">
            <w:pPr>
              <w:jc w:val="center"/>
              <w:rPr>
                <w:rFonts w:asciiTheme="minorHAnsi" w:hAnsiTheme="minorHAnsi" w:cstheme="minorHAnsi"/>
                <w:b/>
                <w:bCs/>
                <w:sz w:val="18"/>
              </w:rPr>
            </w:pPr>
            <w:r>
              <w:rPr>
                <w:rFonts w:asciiTheme="minorHAnsi" w:hAnsiTheme="minorHAnsi" w:cstheme="minorHAnsi"/>
                <w:b/>
                <w:bCs/>
                <w:sz w:val="18"/>
              </w:rPr>
              <w:t>Katalogové číslo</w:t>
            </w:r>
          </w:p>
        </w:tc>
      </w:tr>
      <w:tr w:rsidR="009811A9" w:rsidRPr="005E2562" w14:paraId="7FC2B49B" w14:textId="77777777" w:rsidTr="009811A9">
        <w:trPr>
          <w:trHeight w:val="466"/>
        </w:trPr>
        <w:tc>
          <w:tcPr>
            <w:tcW w:w="946" w:type="pct"/>
            <w:tcBorders>
              <w:top w:val="single" w:sz="12" w:space="0" w:color="auto"/>
              <w:left w:val="single" w:sz="12" w:space="0" w:color="auto"/>
              <w:bottom w:val="single" w:sz="12" w:space="0" w:color="auto"/>
              <w:right w:val="single" w:sz="12" w:space="0" w:color="auto"/>
            </w:tcBorders>
            <w:vAlign w:val="center"/>
          </w:tcPr>
          <w:p w14:paraId="598339CA" w14:textId="77777777" w:rsidR="009811A9" w:rsidRDefault="009811A9" w:rsidP="009F1C45">
            <w:pPr>
              <w:pStyle w:val="Bezmezer"/>
              <w:rPr>
                <w:rFonts w:asciiTheme="minorHAnsi" w:hAnsiTheme="minorHAnsi" w:cstheme="minorHAnsi"/>
                <w:sz w:val="18"/>
                <w:szCs w:val="18"/>
              </w:rPr>
            </w:pPr>
            <w:r w:rsidRPr="00114062">
              <w:rPr>
                <w:rFonts w:asciiTheme="minorHAnsi" w:hAnsiTheme="minorHAnsi" w:cstheme="minorHAnsi"/>
                <w:sz w:val="18"/>
                <w:szCs w:val="18"/>
                <w:highlight w:val="yellow"/>
              </w:rPr>
              <w:t>„DOPLNÍ ÚČASTNÍK“</w:t>
            </w:r>
          </w:p>
          <w:p w14:paraId="49DA4154" w14:textId="67F34F82" w:rsidR="009811A9" w:rsidRPr="001E7E65" w:rsidRDefault="001E7E65" w:rsidP="009F1C45">
            <w:pPr>
              <w:pStyle w:val="Bezmezer"/>
              <w:rPr>
                <w:rFonts w:asciiTheme="minorHAnsi" w:hAnsiTheme="minorHAnsi" w:cstheme="minorHAnsi"/>
                <w:bCs/>
                <w:i/>
                <w:iCs/>
                <w:sz w:val="18"/>
                <w:szCs w:val="20"/>
              </w:rPr>
            </w:pPr>
            <w:r w:rsidRPr="001E7E65">
              <w:rPr>
                <w:i/>
                <w:iCs/>
              </w:rPr>
              <w:t>Elfo sérové bílkoviny</w:t>
            </w:r>
          </w:p>
        </w:tc>
        <w:tc>
          <w:tcPr>
            <w:tcW w:w="943" w:type="pct"/>
            <w:tcBorders>
              <w:top w:val="single" w:sz="12" w:space="0" w:color="auto"/>
              <w:left w:val="single" w:sz="12" w:space="0" w:color="auto"/>
              <w:bottom w:val="single" w:sz="12" w:space="0" w:color="auto"/>
              <w:right w:val="single" w:sz="12" w:space="0" w:color="auto"/>
            </w:tcBorders>
            <w:vAlign w:val="center"/>
          </w:tcPr>
          <w:p w14:paraId="550912AC" w14:textId="77777777" w:rsidR="009811A9" w:rsidRPr="005E2562" w:rsidRDefault="009811A9" w:rsidP="009F1C45">
            <w:pPr>
              <w:pStyle w:val="Bezmezer"/>
              <w:jc w:val="center"/>
              <w:rPr>
                <w:rFonts w:asciiTheme="minorHAnsi" w:hAnsiTheme="minorHAnsi" w:cstheme="minorHAnsi"/>
                <w:bCs/>
                <w:sz w:val="20"/>
                <w:szCs w:val="20"/>
              </w:rPr>
            </w:pPr>
            <w:r w:rsidRPr="00114062">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tcPr>
          <w:p w14:paraId="581E448C" w14:textId="77777777" w:rsidR="009811A9" w:rsidRPr="005E2562" w:rsidRDefault="009811A9" w:rsidP="009F1C4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tcPr>
          <w:p w14:paraId="1C389690" w14:textId="77777777" w:rsidR="009811A9" w:rsidRPr="005E2562" w:rsidRDefault="009811A9" w:rsidP="009F1C4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tcPr>
          <w:p w14:paraId="41F4D4C6" w14:textId="77777777" w:rsidR="009811A9" w:rsidRPr="005E2562" w:rsidRDefault="009811A9" w:rsidP="009F1C4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tcPr>
          <w:p w14:paraId="68938E30" w14:textId="77777777" w:rsidR="009811A9" w:rsidRPr="005E2562" w:rsidRDefault="009811A9" w:rsidP="009F1C45">
            <w:pPr>
              <w:pStyle w:val="Bezmeze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r>
      <w:tr w:rsidR="009811A9" w:rsidRPr="005E2562" w14:paraId="06D3953B" w14:textId="77777777" w:rsidTr="009811A9">
        <w:trPr>
          <w:trHeight w:val="466"/>
        </w:trPr>
        <w:tc>
          <w:tcPr>
            <w:tcW w:w="946" w:type="pct"/>
            <w:tcBorders>
              <w:top w:val="single" w:sz="12" w:space="0" w:color="auto"/>
              <w:left w:val="single" w:sz="12" w:space="0" w:color="auto"/>
              <w:bottom w:val="single" w:sz="12" w:space="0" w:color="auto"/>
              <w:right w:val="single" w:sz="12" w:space="0" w:color="auto"/>
            </w:tcBorders>
            <w:vAlign w:val="center"/>
          </w:tcPr>
          <w:p w14:paraId="7075DDB4" w14:textId="77777777" w:rsidR="009811A9" w:rsidRDefault="009811A9" w:rsidP="009F1C45">
            <w:pPr>
              <w:pStyle w:val="Bezmezer"/>
              <w:rPr>
                <w:rFonts w:asciiTheme="minorHAnsi" w:hAnsiTheme="minorHAnsi" w:cstheme="minorHAnsi"/>
                <w:sz w:val="18"/>
                <w:szCs w:val="18"/>
              </w:rPr>
            </w:pPr>
            <w:r w:rsidRPr="00114062">
              <w:rPr>
                <w:rFonts w:asciiTheme="minorHAnsi" w:hAnsiTheme="minorHAnsi" w:cstheme="minorHAnsi"/>
                <w:sz w:val="18"/>
                <w:szCs w:val="18"/>
                <w:highlight w:val="yellow"/>
              </w:rPr>
              <w:t>„DOPLNÍ ÚČASTNÍK“</w:t>
            </w:r>
          </w:p>
          <w:p w14:paraId="30A6506A" w14:textId="604D7696" w:rsidR="009811A9" w:rsidRPr="001E7E65" w:rsidRDefault="001E7E65" w:rsidP="009F1C45">
            <w:pPr>
              <w:pStyle w:val="Bezmezer"/>
              <w:rPr>
                <w:rFonts w:asciiTheme="minorHAnsi" w:hAnsiTheme="minorHAnsi" w:cstheme="minorHAnsi"/>
                <w:bCs/>
                <w:i/>
                <w:iCs/>
                <w:sz w:val="18"/>
                <w:szCs w:val="20"/>
              </w:rPr>
            </w:pPr>
            <w:r w:rsidRPr="001E7E65">
              <w:rPr>
                <w:i/>
                <w:iCs/>
              </w:rPr>
              <w:t>imunofixace sérových bílkovin</w:t>
            </w:r>
          </w:p>
        </w:tc>
        <w:tc>
          <w:tcPr>
            <w:tcW w:w="943" w:type="pct"/>
            <w:tcBorders>
              <w:top w:val="single" w:sz="12" w:space="0" w:color="auto"/>
              <w:left w:val="single" w:sz="12" w:space="0" w:color="auto"/>
              <w:bottom w:val="single" w:sz="12" w:space="0" w:color="auto"/>
              <w:right w:val="single" w:sz="12" w:space="0" w:color="auto"/>
            </w:tcBorders>
            <w:vAlign w:val="center"/>
          </w:tcPr>
          <w:p w14:paraId="7767AE5F" w14:textId="77777777" w:rsidR="009811A9" w:rsidRPr="005E2562" w:rsidRDefault="009811A9" w:rsidP="009F1C45">
            <w:pPr>
              <w:pStyle w:val="Bezmezer"/>
              <w:jc w:val="center"/>
              <w:rPr>
                <w:rFonts w:asciiTheme="minorHAnsi" w:hAnsiTheme="minorHAnsi" w:cstheme="minorHAnsi"/>
                <w:bCs/>
                <w:sz w:val="20"/>
                <w:szCs w:val="20"/>
              </w:rPr>
            </w:pPr>
            <w:r w:rsidRPr="00114062">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tcPr>
          <w:p w14:paraId="5F9977BC" w14:textId="77777777" w:rsidR="009811A9" w:rsidRPr="005E2562" w:rsidRDefault="009811A9" w:rsidP="009F1C4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tcPr>
          <w:p w14:paraId="1D933FA4" w14:textId="77777777" w:rsidR="009811A9" w:rsidRPr="005E2562" w:rsidRDefault="009811A9" w:rsidP="009F1C4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tcPr>
          <w:p w14:paraId="34FD2FF9" w14:textId="77777777" w:rsidR="009811A9" w:rsidRPr="005E2562" w:rsidRDefault="009811A9" w:rsidP="009F1C4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tcPr>
          <w:p w14:paraId="7026428A" w14:textId="77777777" w:rsidR="009811A9" w:rsidRPr="005E2562" w:rsidRDefault="009811A9" w:rsidP="009F1C45">
            <w:pPr>
              <w:pStyle w:val="Bezmeze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r>
      <w:tr w:rsidR="001E7E65" w:rsidRPr="005E2562" w14:paraId="3C9DFB9A" w14:textId="77777777" w:rsidTr="009811A9">
        <w:trPr>
          <w:trHeight w:val="466"/>
        </w:trPr>
        <w:tc>
          <w:tcPr>
            <w:tcW w:w="946" w:type="pct"/>
            <w:tcBorders>
              <w:top w:val="single" w:sz="12" w:space="0" w:color="auto"/>
              <w:left w:val="single" w:sz="12" w:space="0" w:color="auto"/>
              <w:bottom w:val="single" w:sz="12" w:space="0" w:color="auto"/>
              <w:right w:val="single" w:sz="12" w:space="0" w:color="auto"/>
            </w:tcBorders>
            <w:vAlign w:val="center"/>
          </w:tcPr>
          <w:p w14:paraId="6F8015D1" w14:textId="77777777" w:rsidR="001E7E65" w:rsidRDefault="001E7E65" w:rsidP="001E7E65">
            <w:pPr>
              <w:pStyle w:val="Bezmezer"/>
              <w:rPr>
                <w:rFonts w:asciiTheme="minorHAnsi" w:hAnsiTheme="minorHAnsi" w:cstheme="minorHAnsi"/>
                <w:sz w:val="18"/>
                <w:szCs w:val="18"/>
              </w:rPr>
            </w:pPr>
            <w:r w:rsidRPr="00114062">
              <w:rPr>
                <w:rFonts w:asciiTheme="minorHAnsi" w:hAnsiTheme="minorHAnsi" w:cstheme="minorHAnsi"/>
                <w:sz w:val="18"/>
                <w:szCs w:val="18"/>
                <w:highlight w:val="yellow"/>
              </w:rPr>
              <w:t>„DOPLNÍ ÚČASTNÍK“</w:t>
            </w:r>
          </w:p>
          <w:p w14:paraId="7F959464" w14:textId="735A1869" w:rsidR="001E7E65" w:rsidRPr="001E7E65" w:rsidRDefault="001E7E65" w:rsidP="001E7E65">
            <w:pPr>
              <w:pStyle w:val="Bezmezer"/>
              <w:rPr>
                <w:rFonts w:asciiTheme="minorHAnsi" w:hAnsiTheme="minorHAnsi" w:cstheme="minorHAnsi"/>
                <w:i/>
                <w:iCs/>
                <w:sz w:val="18"/>
                <w:szCs w:val="18"/>
                <w:highlight w:val="yellow"/>
              </w:rPr>
            </w:pPr>
            <w:r w:rsidRPr="001E7E65">
              <w:rPr>
                <w:i/>
                <w:iCs/>
              </w:rPr>
              <w:t>Elfo bílkovin</w:t>
            </w:r>
            <w:r w:rsidR="005A64FC">
              <w:rPr>
                <w:i/>
                <w:iCs/>
              </w:rPr>
              <w:t>y</w:t>
            </w:r>
            <w:r w:rsidRPr="001E7E65">
              <w:rPr>
                <w:i/>
                <w:iCs/>
              </w:rPr>
              <w:t xml:space="preserve"> moče</w:t>
            </w:r>
          </w:p>
        </w:tc>
        <w:tc>
          <w:tcPr>
            <w:tcW w:w="943" w:type="pct"/>
            <w:tcBorders>
              <w:top w:val="single" w:sz="12" w:space="0" w:color="auto"/>
              <w:left w:val="single" w:sz="12" w:space="0" w:color="auto"/>
              <w:bottom w:val="single" w:sz="12" w:space="0" w:color="auto"/>
              <w:right w:val="single" w:sz="12" w:space="0" w:color="auto"/>
            </w:tcBorders>
            <w:vAlign w:val="center"/>
          </w:tcPr>
          <w:p w14:paraId="286AC447" w14:textId="508C3739" w:rsidR="001E7E65" w:rsidRPr="00114062" w:rsidRDefault="001E7E65" w:rsidP="001E7E65">
            <w:pPr>
              <w:pStyle w:val="Bezmezer"/>
              <w:jc w:val="center"/>
              <w:rPr>
                <w:rFonts w:asciiTheme="minorHAnsi" w:hAnsiTheme="minorHAnsi" w:cstheme="minorHAnsi"/>
                <w:sz w:val="18"/>
                <w:szCs w:val="18"/>
                <w:highlight w:val="yellow"/>
              </w:rPr>
            </w:pPr>
            <w:r w:rsidRPr="00114062">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tcPr>
          <w:p w14:paraId="22F8ACB0" w14:textId="2E2F6445" w:rsidR="001E7E65" w:rsidRPr="005E2562" w:rsidRDefault="001E7E65" w:rsidP="001E7E6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tcPr>
          <w:p w14:paraId="3905AE0F" w14:textId="6B266762" w:rsidR="001E7E65" w:rsidRPr="005E2562" w:rsidRDefault="001E7E65" w:rsidP="001E7E6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tcPr>
          <w:p w14:paraId="29F35249" w14:textId="3B58FCE8" w:rsidR="001E7E65" w:rsidRPr="005E2562" w:rsidRDefault="001E7E65" w:rsidP="001E7E65">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tcPr>
          <w:p w14:paraId="76A89661" w14:textId="5FEB361B" w:rsidR="001E7E65" w:rsidRPr="005E2562" w:rsidRDefault="001E7E65" w:rsidP="001E7E65">
            <w:pPr>
              <w:pStyle w:val="Bezmeze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r>
      <w:tr w:rsidR="005A64FC" w:rsidRPr="005E2562" w14:paraId="6AF1ECA3" w14:textId="77777777" w:rsidTr="009811A9">
        <w:trPr>
          <w:trHeight w:val="466"/>
        </w:trPr>
        <w:tc>
          <w:tcPr>
            <w:tcW w:w="946" w:type="pct"/>
            <w:tcBorders>
              <w:top w:val="single" w:sz="12" w:space="0" w:color="auto"/>
              <w:left w:val="single" w:sz="12" w:space="0" w:color="auto"/>
              <w:bottom w:val="single" w:sz="12" w:space="0" w:color="auto"/>
              <w:right w:val="single" w:sz="12" w:space="0" w:color="auto"/>
            </w:tcBorders>
            <w:vAlign w:val="center"/>
          </w:tcPr>
          <w:p w14:paraId="47D20337" w14:textId="77777777" w:rsidR="005A64FC" w:rsidRDefault="005A64FC" w:rsidP="005A64FC">
            <w:pPr>
              <w:pStyle w:val="Bezmezer"/>
              <w:rPr>
                <w:rFonts w:asciiTheme="minorHAnsi" w:hAnsiTheme="minorHAnsi" w:cstheme="minorHAnsi"/>
                <w:sz w:val="18"/>
                <w:szCs w:val="18"/>
              </w:rPr>
            </w:pPr>
            <w:r w:rsidRPr="00114062">
              <w:rPr>
                <w:rFonts w:asciiTheme="minorHAnsi" w:hAnsiTheme="minorHAnsi" w:cstheme="minorHAnsi"/>
                <w:sz w:val="18"/>
                <w:szCs w:val="18"/>
                <w:highlight w:val="yellow"/>
              </w:rPr>
              <w:t>„DOPLNÍ ÚČASTNÍK“</w:t>
            </w:r>
          </w:p>
          <w:p w14:paraId="2571E15D" w14:textId="6BEA3826" w:rsidR="005A64FC" w:rsidRPr="005A64FC" w:rsidRDefault="005A64FC" w:rsidP="005A64FC">
            <w:pPr>
              <w:pStyle w:val="Bezmezer"/>
              <w:rPr>
                <w:rFonts w:asciiTheme="minorHAnsi" w:hAnsiTheme="minorHAnsi" w:cstheme="minorHAnsi"/>
                <w:i/>
                <w:iCs/>
                <w:sz w:val="18"/>
                <w:szCs w:val="18"/>
                <w:highlight w:val="yellow"/>
              </w:rPr>
            </w:pPr>
            <w:r w:rsidRPr="005A64FC">
              <w:rPr>
                <w:i/>
                <w:iCs/>
              </w:rPr>
              <w:t>imunofixace bílkovin moče</w:t>
            </w:r>
          </w:p>
        </w:tc>
        <w:tc>
          <w:tcPr>
            <w:tcW w:w="943" w:type="pct"/>
            <w:tcBorders>
              <w:top w:val="single" w:sz="12" w:space="0" w:color="auto"/>
              <w:left w:val="single" w:sz="12" w:space="0" w:color="auto"/>
              <w:bottom w:val="single" w:sz="12" w:space="0" w:color="auto"/>
              <w:right w:val="single" w:sz="12" w:space="0" w:color="auto"/>
            </w:tcBorders>
            <w:vAlign w:val="center"/>
          </w:tcPr>
          <w:p w14:paraId="1CDF662F" w14:textId="3ED9D14A" w:rsidR="005A64FC" w:rsidRPr="00114062" w:rsidRDefault="005A64FC" w:rsidP="005A64FC">
            <w:pPr>
              <w:pStyle w:val="Bezmezer"/>
              <w:jc w:val="center"/>
              <w:rPr>
                <w:rFonts w:asciiTheme="minorHAnsi" w:hAnsiTheme="minorHAnsi" w:cstheme="minorHAnsi"/>
                <w:sz w:val="18"/>
                <w:szCs w:val="18"/>
                <w:highlight w:val="yellow"/>
              </w:rPr>
            </w:pPr>
            <w:r w:rsidRPr="00114062">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tcPr>
          <w:p w14:paraId="415FD1CC" w14:textId="453EEC68" w:rsidR="005A64FC" w:rsidRPr="005E2562" w:rsidRDefault="005A64FC" w:rsidP="005A64FC">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tcPr>
          <w:p w14:paraId="140045D8" w14:textId="1A003A89" w:rsidR="005A64FC" w:rsidRPr="005E2562" w:rsidRDefault="005A64FC" w:rsidP="005A64FC">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tcPr>
          <w:p w14:paraId="698434ED" w14:textId="15D24AB3" w:rsidR="005A64FC" w:rsidRPr="005E2562" w:rsidRDefault="005A64FC" w:rsidP="005A64FC">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tcPr>
          <w:p w14:paraId="0FEF508D" w14:textId="3F887FF5" w:rsidR="005A64FC" w:rsidRPr="005E2562" w:rsidRDefault="005A64FC" w:rsidP="005A64FC">
            <w:pPr>
              <w:pStyle w:val="Bezmeze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r>
    </w:tbl>
    <w:p w14:paraId="4959839C" w14:textId="77777777" w:rsidR="007E62E9" w:rsidRPr="007E62E9" w:rsidRDefault="007E62E9" w:rsidP="00AF66FC">
      <w:pPr>
        <w:rPr>
          <w:rFonts w:ascii="Calibri" w:hAnsi="Calibri" w:cs="Calibri"/>
          <w:b/>
          <w:sz w:val="22"/>
          <w:szCs w:val="22"/>
        </w:rPr>
      </w:pPr>
    </w:p>
    <w:sectPr w:rsidR="007E62E9" w:rsidRPr="007E62E9" w:rsidSect="00DE2541">
      <w:headerReference w:type="default" r:id="rId9"/>
      <w:footerReference w:type="default" r:id="rId10"/>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A7F4B" w14:textId="77777777" w:rsidR="009F1C45" w:rsidRDefault="009F1C45" w:rsidP="00333B13">
      <w:r>
        <w:separator/>
      </w:r>
    </w:p>
  </w:endnote>
  <w:endnote w:type="continuationSeparator" w:id="0">
    <w:p w14:paraId="36AA9854" w14:textId="77777777" w:rsidR="009F1C45" w:rsidRDefault="009F1C45"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4392" w14:textId="77777777" w:rsidR="009F1C45" w:rsidRPr="00F07CDA" w:rsidRDefault="009F1C45" w:rsidP="00F07CDA">
    <w:pPr>
      <w:pStyle w:val="Zpat"/>
      <w:tabs>
        <w:tab w:val="left" w:pos="6330"/>
        <w:tab w:val="right" w:pos="9864"/>
      </w:tabs>
      <w:rPr>
        <w:rFonts w:ascii="Calibri" w:hAnsi="Calibri"/>
        <w:i/>
        <w:iCs/>
        <w:sz w:val="20"/>
        <w:szCs w:val="20"/>
      </w:rPr>
    </w:pPr>
    <w:bookmarkStart w:id="6" w:name="_Hlk41382173"/>
    <w:r w:rsidRPr="00F07CDA">
      <w:rPr>
        <w:rFonts w:ascii="Calibri" w:hAnsi="Calibri"/>
        <w:i/>
        <w:iCs/>
        <w:sz w:val="20"/>
        <w:szCs w:val="20"/>
      </w:rPr>
      <w:t xml:space="preserve">Název projektu: „Laboratorní medicína“, </w:t>
    </w:r>
  </w:p>
  <w:p w14:paraId="2B4D21EA" w14:textId="77777777" w:rsidR="009F1C45" w:rsidRPr="00F07CDA" w:rsidRDefault="009F1C45" w:rsidP="00F07CDA">
    <w:pPr>
      <w:pStyle w:val="Zpat"/>
      <w:tabs>
        <w:tab w:val="left" w:pos="6330"/>
        <w:tab w:val="right" w:pos="9864"/>
      </w:tabs>
      <w:rPr>
        <w:rFonts w:ascii="Calibri" w:hAnsi="Calibri" w:cs="Calibri"/>
        <w:i/>
        <w:iCs/>
        <w:sz w:val="20"/>
        <w:szCs w:val="20"/>
      </w:rPr>
    </w:pPr>
    <w:r w:rsidRPr="00F07CDA">
      <w:rPr>
        <w:rFonts w:ascii="Calibri" w:hAnsi="Calibri"/>
        <w:i/>
        <w:iCs/>
        <w:sz w:val="20"/>
        <w:szCs w:val="20"/>
      </w:rPr>
      <w:t>reg. č. CZ.06.2.56/0.0/0.0./16_043/0001546</w:t>
    </w:r>
    <w:bookmarkEnd w:id="6"/>
  </w:p>
  <w:p w14:paraId="4A79096A" w14:textId="491ADACF" w:rsidR="009F1C45" w:rsidRPr="00F07CDA" w:rsidRDefault="009F1C45"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328CE" w14:textId="77777777" w:rsidR="009F1C45" w:rsidRDefault="009F1C45" w:rsidP="00333B13">
      <w:r>
        <w:separator/>
      </w:r>
    </w:p>
  </w:footnote>
  <w:footnote w:type="continuationSeparator" w:id="0">
    <w:p w14:paraId="3E40D938" w14:textId="77777777" w:rsidR="009F1C45" w:rsidRDefault="009F1C45"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C66A3" w14:textId="4EF3C09E" w:rsidR="009F1C45" w:rsidRDefault="00DE2541">
    <w:pPr>
      <w:pStyle w:val="Zhlav"/>
    </w:pP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30E73F6D">
          <wp:simplePos x="0" y="0"/>
          <wp:positionH relativeFrom="margin">
            <wp:posOffset>4022145</wp:posOffset>
          </wp:positionH>
          <wp:positionV relativeFrom="paragraph">
            <wp:posOffset>-204774</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5FB81283">
          <wp:simplePos x="0" y="0"/>
          <wp:positionH relativeFrom="margin">
            <wp:posOffset>-470756</wp:posOffset>
          </wp:positionH>
          <wp:positionV relativeFrom="paragraph">
            <wp:posOffset>-299058</wp:posOffset>
          </wp:positionV>
          <wp:extent cx="4194175" cy="715010"/>
          <wp:effectExtent l="0" t="0" r="0" b="889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4175" cy="7150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0"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3"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9" w15:restartNumberingAfterBreak="0">
    <w:nsid w:val="69D14A8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3"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2"/>
  </w:num>
  <w:num w:numId="8">
    <w:abstractNumId w:val="9"/>
  </w:num>
  <w:num w:numId="9">
    <w:abstractNumId w:val="3"/>
  </w:num>
  <w:num w:numId="10">
    <w:abstractNumId w:val="11"/>
  </w:num>
  <w:num w:numId="11">
    <w:abstractNumId w:val="19"/>
  </w:num>
  <w:num w:numId="12">
    <w:abstractNumId w:val="13"/>
  </w:num>
  <w:num w:numId="13">
    <w:abstractNumId w:val="16"/>
  </w:num>
  <w:num w:numId="14">
    <w:abstractNumId w:val="17"/>
  </w:num>
  <w:num w:numId="15">
    <w:abstractNumId w:val="12"/>
  </w:num>
  <w:num w:numId="16">
    <w:abstractNumId w:val="1"/>
  </w:num>
  <w:num w:numId="17">
    <w:abstractNumId w:val="6"/>
  </w:num>
  <w:num w:numId="18">
    <w:abstractNumId w:val="15"/>
  </w:num>
  <w:num w:numId="19">
    <w:abstractNumId w:val="0"/>
  </w:num>
  <w:num w:numId="20">
    <w:abstractNumId w:val="10"/>
  </w:num>
  <w:num w:numId="21">
    <w:abstractNumId w:val="5"/>
  </w:num>
  <w:num w:numId="22">
    <w:abstractNumId w:val="2"/>
  </w:num>
  <w:num w:numId="23">
    <w:abstractNumId w:val="7"/>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55BAE"/>
    <w:rsid w:val="0006114E"/>
    <w:rsid w:val="000D1A86"/>
    <w:rsid w:val="000F2E1E"/>
    <w:rsid w:val="00155666"/>
    <w:rsid w:val="001736AD"/>
    <w:rsid w:val="001771D3"/>
    <w:rsid w:val="001A3593"/>
    <w:rsid w:val="001A7DF1"/>
    <w:rsid w:val="001E7E65"/>
    <w:rsid w:val="001F7F4A"/>
    <w:rsid w:val="00204958"/>
    <w:rsid w:val="0023390B"/>
    <w:rsid w:val="002B7F32"/>
    <w:rsid w:val="002C1653"/>
    <w:rsid w:val="002D20AE"/>
    <w:rsid w:val="00333B13"/>
    <w:rsid w:val="00362208"/>
    <w:rsid w:val="00370B24"/>
    <w:rsid w:val="00391F82"/>
    <w:rsid w:val="003C79D5"/>
    <w:rsid w:val="003D269F"/>
    <w:rsid w:val="004839E6"/>
    <w:rsid w:val="004A6194"/>
    <w:rsid w:val="004C4CC3"/>
    <w:rsid w:val="0053243A"/>
    <w:rsid w:val="005672D1"/>
    <w:rsid w:val="00584B52"/>
    <w:rsid w:val="00596418"/>
    <w:rsid w:val="005A64FC"/>
    <w:rsid w:val="00616DD3"/>
    <w:rsid w:val="00681FE2"/>
    <w:rsid w:val="006F7161"/>
    <w:rsid w:val="00740824"/>
    <w:rsid w:val="007E62E9"/>
    <w:rsid w:val="00804865"/>
    <w:rsid w:val="008323DA"/>
    <w:rsid w:val="00837594"/>
    <w:rsid w:val="00944424"/>
    <w:rsid w:val="00947DF4"/>
    <w:rsid w:val="009541A4"/>
    <w:rsid w:val="00980327"/>
    <w:rsid w:val="009811A9"/>
    <w:rsid w:val="009A1777"/>
    <w:rsid w:val="009A1B48"/>
    <w:rsid w:val="009A5465"/>
    <w:rsid w:val="009A5D3E"/>
    <w:rsid w:val="009D0020"/>
    <w:rsid w:val="009F154A"/>
    <w:rsid w:val="009F1C45"/>
    <w:rsid w:val="00A401FB"/>
    <w:rsid w:val="00A83794"/>
    <w:rsid w:val="00AE46C4"/>
    <w:rsid w:val="00AF66FC"/>
    <w:rsid w:val="00B57DD9"/>
    <w:rsid w:val="00B6305A"/>
    <w:rsid w:val="00BF3E9E"/>
    <w:rsid w:val="00C81288"/>
    <w:rsid w:val="00C964FD"/>
    <w:rsid w:val="00D07A28"/>
    <w:rsid w:val="00DA1AB6"/>
    <w:rsid w:val="00DC4334"/>
    <w:rsid w:val="00DE2541"/>
    <w:rsid w:val="00DF12B9"/>
    <w:rsid w:val="00E07D01"/>
    <w:rsid w:val="00E16722"/>
    <w:rsid w:val="00E55331"/>
    <w:rsid w:val="00E84471"/>
    <w:rsid w:val="00EB2EB2"/>
    <w:rsid w:val="00EC5737"/>
    <w:rsid w:val="00F007BB"/>
    <w:rsid w:val="00F07C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semiHidden/>
    <w:unhideWhenUsed/>
    <w:rsid w:val="00B57DD9"/>
    <w:pPr>
      <w:spacing w:after="120"/>
    </w:pPr>
  </w:style>
  <w:style w:type="character" w:customStyle="1" w:styleId="ZkladntextChar">
    <w:name w:val="Základní text Char"/>
    <w:basedOn w:val="Standardnpsmoodstavce"/>
    <w:link w:val="Zkladntext"/>
    <w:uiPriority w:val="99"/>
    <w:semiHidden/>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paragraph" w:customStyle="1" w:styleId="PODKAPITOLA">
    <w:name w:val="PODKAPITOLA"/>
    <w:basedOn w:val="Normln"/>
    <w:link w:val="PODKAPITOLAChar"/>
    <w:uiPriority w:val="99"/>
    <w:rsid w:val="00584B52"/>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584B52"/>
    <w:rPr>
      <w:rFonts w:ascii="Verdana" w:eastAsia="Times New Roman" w:hAnsi="Verdana" w:cs="Verdana"/>
      <w:b/>
      <w:bCs/>
      <w:color w:val="333333"/>
      <w:sz w:val="20"/>
      <w:szCs w:val="20"/>
      <w:shd w:val="clear" w:color="auto" w:fill="FFFFFF"/>
      <w:lang w:eastAsia="cs-CZ"/>
    </w:rPr>
  </w:style>
  <w:style w:type="paragraph" w:styleId="Zkladntext3">
    <w:name w:val="Body Text 3"/>
    <w:basedOn w:val="Normln"/>
    <w:link w:val="Zkladntext3Char"/>
    <w:uiPriority w:val="99"/>
    <w:unhideWhenUsed/>
    <w:rsid w:val="002D20AE"/>
    <w:pPr>
      <w:tabs>
        <w:tab w:val="left" w:pos="5103"/>
      </w:tabs>
    </w:pPr>
    <w:rPr>
      <w:rFonts w:ascii="Calibri" w:hAnsi="Calibri" w:cs="Calibri"/>
      <w:sz w:val="22"/>
      <w:szCs w:val="22"/>
    </w:rPr>
  </w:style>
  <w:style w:type="character" w:customStyle="1" w:styleId="Zkladntext3Char">
    <w:name w:val="Základní text 3 Char"/>
    <w:basedOn w:val="Standardnpsmoodstavce"/>
    <w:link w:val="Zkladntext3"/>
    <w:uiPriority w:val="99"/>
    <w:rsid w:val="002D20AE"/>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26933-2DFD-451B-B524-9F73D98A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3377</Words>
  <Characters>19929</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39</cp:revision>
  <cp:lastPrinted>2018-05-10T08:21:00Z</cp:lastPrinted>
  <dcterms:created xsi:type="dcterms:W3CDTF">2020-07-27T13:38:00Z</dcterms:created>
  <dcterms:modified xsi:type="dcterms:W3CDTF">2020-09-08T17:29:00Z</dcterms:modified>
</cp:coreProperties>
</file>